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BCAAA" w14:textId="77777777" w:rsidR="004E73B7" w:rsidRDefault="004E73B7">
      <w:pPr>
        <w:pStyle w:val="Schedule1"/>
        <w:numPr>
          <w:ilvl w:val="0"/>
          <w:numId w:val="0"/>
        </w:numPr>
        <w:ind w:left="680"/>
        <w:rPr>
          <w:b/>
          <w:bCs/>
        </w:rPr>
      </w:pPr>
      <w:bookmarkStart w:id="0" w:name="_Hlk64024906"/>
    </w:p>
    <w:tbl>
      <w:tblPr>
        <w:tblW w:w="9086"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6"/>
      </w:tblGrid>
      <w:tr w:rsidR="004E73B7" w14:paraId="549268A5" w14:textId="77777777">
        <w:trPr>
          <w:trHeight w:hRule="exact" w:val="676"/>
          <w:jc w:val="center"/>
        </w:trPr>
        <w:tc>
          <w:tcPr>
            <w:tcW w:w="9086" w:type="dxa"/>
            <w:tcBorders>
              <w:top w:val="nil"/>
              <w:bottom w:val="nil"/>
            </w:tcBorders>
          </w:tcPr>
          <w:p w14:paraId="625AE865" w14:textId="77777777" w:rsidR="004E73B7" w:rsidRDefault="008926D7">
            <w:pPr>
              <w:pStyle w:val="zFSDate"/>
            </w:pPr>
            <w:bookmarkStart w:id="1" w:name="bmkDateLabel"/>
            <w:r>
              <w:t>Dated</w:t>
            </w:r>
            <w:bookmarkEnd w:id="1"/>
            <w:r>
              <w:t xml:space="preserve"> …………………………………</w:t>
            </w:r>
            <w:proofErr w:type="gramStart"/>
            <w:r>
              <w:t>…..</w:t>
            </w:r>
            <w:proofErr w:type="gramEnd"/>
            <w:r>
              <w:t>2021</w:t>
            </w:r>
          </w:p>
        </w:tc>
      </w:tr>
      <w:tr w:rsidR="004E73B7" w14:paraId="15267997" w14:textId="77777777">
        <w:trPr>
          <w:cantSplit/>
          <w:trHeight w:hRule="exact" w:val="5284"/>
          <w:jc w:val="center"/>
        </w:trPr>
        <w:tc>
          <w:tcPr>
            <w:tcW w:w="9086" w:type="dxa"/>
            <w:tcBorders>
              <w:top w:val="nil"/>
              <w:bottom w:val="nil"/>
            </w:tcBorders>
            <w:vAlign w:val="center"/>
          </w:tcPr>
          <w:p w14:paraId="0FC568BF" w14:textId="77777777" w:rsidR="004E73B7" w:rsidRDefault="008926D7">
            <w:pPr>
              <w:pStyle w:val="zFSco-names"/>
            </w:pPr>
            <w:r>
              <w:t>[</w:t>
            </w:r>
            <w:r>
              <w:rPr>
                <w:b/>
                <w:bCs/>
              </w:rPr>
              <w:t>COVAX PARTICIPANT</w:t>
            </w:r>
            <w:r>
              <w:t>]</w:t>
            </w:r>
          </w:p>
          <w:p w14:paraId="235022F5" w14:textId="77777777" w:rsidR="004E73B7" w:rsidRDefault="008926D7">
            <w:pPr>
              <w:pStyle w:val="zFSand"/>
            </w:pPr>
            <w:r>
              <w:t>and</w:t>
            </w:r>
          </w:p>
          <w:p w14:paraId="5459D3FD" w14:textId="77777777" w:rsidR="004E73B7" w:rsidRDefault="008926D7">
            <w:pPr>
              <w:pStyle w:val="zFSco-names"/>
            </w:pPr>
            <w:r>
              <w:t>[</w:t>
            </w:r>
            <w:r>
              <w:rPr>
                <w:b/>
                <w:bCs/>
              </w:rPr>
              <w:t>MANUFACTURER</w:t>
            </w:r>
            <w:r>
              <w:t>]</w:t>
            </w:r>
          </w:p>
        </w:tc>
      </w:tr>
      <w:tr w:rsidR="004E73B7" w14:paraId="320B564C" w14:textId="77777777">
        <w:trPr>
          <w:cantSplit/>
          <w:trHeight w:hRule="exact" w:val="4321"/>
          <w:jc w:val="center"/>
        </w:trPr>
        <w:tc>
          <w:tcPr>
            <w:tcW w:w="9086" w:type="dxa"/>
            <w:tcBorders>
              <w:top w:val="nil"/>
              <w:bottom w:val="nil"/>
            </w:tcBorders>
          </w:tcPr>
          <w:p w14:paraId="00133FD2" w14:textId="77777777" w:rsidR="004E73B7" w:rsidRDefault="008926D7">
            <w:pPr>
              <w:pStyle w:val="zFSTitle"/>
            </w:pPr>
            <w:bookmarkStart w:id="2" w:name="bmkTitle"/>
            <w:r>
              <w:t>COVAX INDEMNIFICATION AGREEMENT</w:t>
            </w:r>
            <w:bookmarkEnd w:id="2"/>
            <w:r>
              <w:t xml:space="preserve"> FOR AGENCY-PROCURING COUNTRIES</w:t>
            </w:r>
          </w:p>
          <w:p w14:paraId="7D8403F9" w14:textId="77777777" w:rsidR="004E73B7" w:rsidRDefault="004E73B7">
            <w:pPr>
              <w:pStyle w:val="zFSNarrative"/>
            </w:pPr>
          </w:p>
          <w:p w14:paraId="4C995980" w14:textId="77777777" w:rsidR="004E73B7" w:rsidRDefault="004E73B7">
            <w:pPr>
              <w:pStyle w:val="zFSNarrative"/>
              <w:rPr>
                <w:b/>
                <w:i/>
              </w:rPr>
            </w:pPr>
          </w:p>
        </w:tc>
      </w:tr>
    </w:tbl>
    <w:p w14:paraId="77FA706E" w14:textId="77777777" w:rsidR="004E73B7" w:rsidRDefault="004E73B7">
      <w:pPr>
        <w:pStyle w:val="Body"/>
        <w:sectPr w:rsidR="004E73B7">
          <w:headerReference w:type="even" r:id="rId12"/>
          <w:headerReference w:type="default" r:id="rId13"/>
          <w:footerReference w:type="even" r:id="rId14"/>
          <w:footerReference w:type="default" r:id="rId15"/>
          <w:headerReference w:type="first" r:id="rId16"/>
          <w:footerReference w:type="first" r:id="rId17"/>
          <w:pgSz w:w="11907" w:h="16839" w:code="9"/>
          <w:pgMar w:top="1701" w:right="1588" w:bottom="1304" w:left="1588" w:header="765" w:footer="482" w:gutter="0"/>
          <w:cols w:space="708"/>
          <w:docGrid w:linePitch="360"/>
        </w:sectPr>
      </w:pPr>
      <w:bookmarkStart w:id="3" w:name="bmkLogoCaption"/>
      <w:bookmarkEnd w:id="3"/>
    </w:p>
    <w:p w14:paraId="5DB82F75" w14:textId="77777777" w:rsidR="004E73B7" w:rsidRDefault="008926D7">
      <w:pPr>
        <w:spacing w:after="160" w:line="259" w:lineRule="auto"/>
      </w:pPr>
      <w:r>
        <w:rPr>
          <w:b/>
          <w:bCs/>
        </w:rPr>
        <w:lastRenderedPageBreak/>
        <w:t>This Agreement</w:t>
      </w:r>
      <w:r>
        <w:t xml:space="preserve"> is made on ______________________2021 </w:t>
      </w:r>
      <w:r>
        <w:rPr>
          <w:b/>
          <w:bCs/>
        </w:rPr>
        <w:t>between</w:t>
      </w:r>
      <w:r>
        <w:t>:</w:t>
      </w:r>
    </w:p>
    <w:p w14:paraId="7E019350" w14:textId="77777777" w:rsidR="004E73B7" w:rsidRDefault="008926D7">
      <w:pPr>
        <w:pStyle w:val="Parties"/>
        <w:numPr>
          <w:ilvl w:val="0"/>
          <w:numId w:val="11"/>
        </w:numPr>
      </w:pPr>
      <w:r>
        <w:t>[</w:t>
      </w:r>
      <w:r>
        <w:rPr>
          <w:rFonts w:cs="Arial"/>
          <w:highlight w:val="yellow"/>
        </w:rPr>
        <w:t>●</w:t>
      </w:r>
      <w:r>
        <w:t>] (“</w:t>
      </w:r>
      <w:r>
        <w:rPr>
          <w:b/>
          <w:bCs/>
        </w:rPr>
        <w:t>COVAX Participant</w:t>
      </w:r>
      <w:r>
        <w:t>”); and</w:t>
      </w:r>
    </w:p>
    <w:p w14:paraId="1D7D4EEA" w14:textId="77777777" w:rsidR="004E73B7" w:rsidRDefault="008926D7">
      <w:pPr>
        <w:pStyle w:val="Parties"/>
        <w:numPr>
          <w:ilvl w:val="0"/>
          <w:numId w:val="11"/>
        </w:numPr>
      </w:pPr>
      <w:r>
        <w:t>[</w:t>
      </w:r>
      <w:r>
        <w:rPr>
          <w:b/>
          <w:bCs/>
        </w:rPr>
        <w:t>MANUFACTURER</w:t>
      </w:r>
      <w:r>
        <w:t xml:space="preserve">], a company incorporated in </w:t>
      </w:r>
      <w:r>
        <w:rPr>
          <w:highlight w:val="yellow"/>
        </w:rPr>
        <w:t>[●]</w:t>
      </w:r>
      <w:r>
        <w:t xml:space="preserve"> with registered number </w:t>
      </w:r>
      <w:r>
        <w:rPr>
          <w:highlight w:val="yellow"/>
        </w:rPr>
        <w:t>[</w:t>
      </w:r>
      <w:r>
        <w:rPr>
          <w:rFonts w:cs="Arial"/>
          <w:highlight w:val="yellow"/>
        </w:rPr>
        <w:t>●</w:t>
      </w:r>
      <w:r>
        <w:rPr>
          <w:highlight w:val="yellow"/>
        </w:rPr>
        <w:t>]</w:t>
      </w:r>
      <w:r>
        <w:t xml:space="preserve"> whose registered office is at </w:t>
      </w:r>
      <w:r>
        <w:rPr>
          <w:highlight w:val="yellow"/>
        </w:rPr>
        <w:t>[</w:t>
      </w:r>
      <w:r>
        <w:rPr>
          <w:rFonts w:cs="Arial"/>
          <w:highlight w:val="yellow"/>
        </w:rPr>
        <w:t>●</w:t>
      </w:r>
      <w:r>
        <w:rPr>
          <w:highlight w:val="yellow"/>
        </w:rPr>
        <w:t>]</w:t>
      </w:r>
      <w:r>
        <w:t xml:space="preserve"> (“</w:t>
      </w:r>
      <w:r>
        <w:rPr>
          <w:b/>
          <w:bCs/>
        </w:rPr>
        <w:t>Manufacturer</w:t>
      </w:r>
      <w:r>
        <w:t>”).</w:t>
      </w:r>
    </w:p>
    <w:p w14:paraId="6B491B61" w14:textId="77777777" w:rsidR="004E73B7" w:rsidRDefault="008926D7">
      <w:pPr>
        <w:pStyle w:val="Body"/>
        <w:rPr>
          <w:b/>
        </w:rPr>
      </w:pPr>
      <w:r>
        <w:rPr>
          <w:b/>
        </w:rPr>
        <w:t>Whereas:</w:t>
      </w:r>
    </w:p>
    <w:p w14:paraId="6EAC572A" w14:textId="77777777" w:rsidR="004E73B7" w:rsidRDefault="008926D7">
      <w:pPr>
        <w:pStyle w:val="Recitals"/>
        <w:numPr>
          <w:ilvl w:val="0"/>
          <w:numId w:val="12"/>
        </w:numPr>
      </w:pPr>
      <w:bookmarkStart w:id="4" w:name="_Ref57107755"/>
      <w:r>
        <w:t>In its role of leading the vaccine pillar of the Access to COVID-19 Tools (ACT) Accelerator, the Gavi Alliance (“</w:t>
      </w:r>
      <w:r>
        <w:rPr>
          <w:b/>
          <w:bCs/>
        </w:rPr>
        <w:t>Gavi</w:t>
      </w:r>
      <w:r>
        <w:t>”) and the Manufacturer have entered into an advance purchase agreement dated 15 January 2021 (the “</w:t>
      </w:r>
      <w:r>
        <w:rPr>
          <w:b/>
          <w:bCs/>
        </w:rPr>
        <w:t>APA</w:t>
      </w:r>
      <w:r>
        <w:t xml:space="preserve">”) for the Vaccine. </w:t>
      </w:r>
      <w:bookmarkEnd w:id="4"/>
    </w:p>
    <w:p w14:paraId="6498DB12" w14:textId="33B238FB" w:rsidR="004E73B7" w:rsidRDefault="008926D7">
      <w:pPr>
        <w:pStyle w:val="Recitals"/>
        <w:numPr>
          <w:ilvl w:val="0"/>
          <w:numId w:val="12"/>
        </w:numPr>
      </w:pPr>
      <w:r>
        <w:t xml:space="preserve">Under the APA, the COVAX Participant </w:t>
      </w:r>
      <w:proofErr w:type="gramStart"/>
      <w:r>
        <w:t>has the ability to</w:t>
      </w:r>
      <w:proofErr w:type="gramEnd"/>
      <w:r>
        <w:t xml:space="preserve"> access, via a Designated Procurement Agency on a self-financed basis, doses of Vaccine developed and produced by Manufacturer in accordance with the mechanism prescribed by the APA. </w:t>
      </w:r>
    </w:p>
    <w:p w14:paraId="57192245" w14:textId="77777777" w:rsidR="004E73B7" w:rsidRDefault="008926D7">
      <w:pPr>
        <w:pStyle w:val="Recitals"/>
        <w:numPr>
          <w:ilvl w:val="0"/>
          <w:numId w:val="12"/>
        </w:numPr>
      </w:pPr>
      <w:bookmarkStart w:id="5" w:name="_Ref57110118"/>
      <w:r>
        <w:t>In recognition of the circumstances in which the Vaccine has been developed, the COVAX Participant has agreed to indemnify the Manufacturer against certain risks, as set out in this Agreement.</w:t>
      </w:r>
      <w:bookmarkEnd w:id="5"/>
      <w:r>
        <w:t xml:space="preserve"> </w:t>
      </w:r>
    </w:p>
    <w:p w14:paraId="7A449E02" w14:textId="77777777" w:rsidR="004E73B7" w:rsidRDefault="008926D7">
      <w:pPr>
        <w:pStyle w:val="Body"/>
      </w:pPr>
      <w:r>
        <w:rPr>
          <w:b/>
          <w:bCs/>
        </w:rPr>
        <w:t>It is agreed</w:t>
      </w:r>
      <w:r>
        <w:t xml:space="preserve"> as follows:</w:t>
      </w:r>
    </w:p>
    <w:p w14:paraId="356EB6FA" w14:textId="77777777" w:rsidR="004E73B7" w:rsidRDefault="008926D7">
      <w:pPr>
        <w:pStyle w:val="Level1"/>
        <w:numPr>
          <w:ilvl w:val="0"/>
          <w:numId w:val="10"/>
        </w:numPr>
      </w:pPr>
      <w:bookmarkStart w:id="6" w:name="_Ref266978167"/>
      <w:bookmarkStart w:id="7" w:name="_Toc527645461"/>
      <w:bookmarkStart w:id="8" w:name="_Toc58842087"/>
      <w:bookmarkStart w:id="9" w:name="_Toc61475526"/>
      <w:bookmarkStart w:id="10" w:name="_Toc61593482"/>
      <w:bookmarkStart w:id="11" w:name="_Toc61543098"/>
      <w:r>
        <w:t>Interpretation</w:t>
      </w:r>
      <w:bookmarkEnd w:id="6"/>
      <w:bookmarkEnd w:id="7"/>
      <w:bookmarkEnd w:id="8"/>
      <w:bookmarkEnd w:id="9"/>
      <w:bookmarkEnd w:id="10"/>
      <w:bookmarkEnd w:id="11"/>
    </w:p>
    <w:p w14:paraId="736E5F39" w14:textId="77777777" w:rsidR="004E73B7" w:rsidRDefault="008926D7">
      <w:pPr>
        <w:pStyle w:val="Level2"/>
        <w:numPr>
          <w:ilvl w:val="1"/>
          <w:numId w:val="10"/>
        </w:numPr>
        <w:rPr>
          <w:b/>
        </w:rPr>
      </w:pPr>
      <w:r>
        <w:rPr>
          <w:b/>
        </w:rPr>
        <w:t>Definitions</w:t>
      </w:r>
    </w:p>
    <w:p w14:paraId="6C47F5B5" w14:textId="77777777" w:rsidR="004E73B7" w:rsidRDefault="008926D7">
      <w:pPr>
        <w:pStyle w:val="Body2"/>
      </w:pPr>
      <w:r>
        <w:t>In this Agreement, unless the context otherwise requires:</w:t>
      </w:r>
    </w:p>
    <w:p w14:paraId="1FA9FF17" w14:textId="77777777" w:rsidR="004E73B7" w:rsidRDefault="008926D7">
      <w:pPr>
        <w:pStyle w:val="Body1"/>
      </w:pPr>
      <w:r>
        <w:t>“</w:t>
      </w:r>
      <w:r>
        <w:rPr>
          <w:b/>
          <w:bCs/>
        </w:rPr>
        <w:t>Affiliate</w:t>
      </w:r>
      <w:r>
        <w:t xml:space="preserve">” means with respect to a Person (or </w:t>
      </w:r>
      <w:proofErr w:type="spellStart"/>
      <w:r>
        <w:t>BioNTech</w:t>
      </w:r>
      <w:proofErr w:type="spellEnd"/>
      <w:r>
        <w:t xml:space="preserve"> where relevant), any Person that directly, or indirectly through one or more intermediaries, controls, is controlled by or is under common control with the named Person or </w:t>
      </w:r>
      <w:proofErr w:type="spellStart"/>
      <w:r>
        <w:t>BioNTech</w:t>
      </w:r>
      <w:proofErr w:type="spellEnd"/>
      <w:r>
        <w:t xml:space="preserve">. “Control” and, with correlative meanings, the terms “controlled by” and “under common control with” mean (i) the power to direct the management or policies of a Person, whether through ownership of voting securities or by contract relating to voting rights or corporate governance, resolution, regulation or otherwise, or (ii) to own more than 50 per cent of the outstanding voting securities or other ownership interest of such </w:t>
      </w:r>
      <w:proofErr w:type="gramStart"/>
      <w:r>
        <w:t>Person;</w:t>
      </w:r>
      <w:proofErr w:type="gramEnd"/>
    </w:p>
    <w:p w14:paraId="57ABE334" w14:textId="77777777" w:rsidR="004E73B7" w:rsidRDefault="008926D7">
      <w:pPr>
        <w:pStyle w:val="Body1"/>
      </w:pPr>
      <w:r>
        <w:t>“</w:t>
      </w:r>
      <w:r>
        <w:rPr>
          <w:b/>
          <w:bCs/>
        </w:rPr>
        <w:t>APA</w:t>
      </w:r>
      <w:r>
        <w:t xml:space="preserve">” has the meaning assigned to it in Recital </w:t>
      </w:r>
      <w:r>
        <w:fldChar w:fldCharType="begin"/>
      </w:r>
      <w:r>
        <w:instrText xml:space="preserve"> REF _Ref57107755 \r \h </w:instrText>
      </w:r>
      <w:r>
        <w:fldChar w:fldCharType="separate"/>
      </w:r>
      <w:r>
        <w:t>(A)</w:t>
      </w:r>
      <w:r>
        <w:fldChar w:fldCharType="end"/>
      </w:r>
      <w:r>
        <w:t>;</w:t>
      </w:r>
    </w:p>
    <w:p w14:paraId="78383786" w14:textId="77777777" w:rsidR="004E73B7" w:rsidRDefault="008926D7">
      <w:pPr>
        <w:pStyle w:val="Body1"/>
      </w:pPr>
      <w:r>
        <w:t>“</w:t>
      </w:r>
      <w:proofErr w:type="spellStart"/>
      <w:r>
        <w:rPr>
          <w:b/>
          <w:bCs/>
        </w:rPr>
        <w:t>BioNTech</w:t>
      </w:r>
      <w:proofErr w:type="spellEnd"/>
      <w:r>
        <w:t xml:space="preserve">” means </w:t>
      </w:r>
      <w:proofErr w:type="spellStart"/>
      <w:r>
        <w:t>BioNTech</w:t>
      </w:r>
      <w:proofErr w:type="spellEnd"/>
      <w:r>
        <w:t xml:space="preserve"> SE, a company organized and existing under the laws of </w:t>
      </w:r>
      <w:proofErr w:type="gramStart"/>
      <w:r>
        <w:t>Germany;</w:t>
      </w:r>
      <w:proofErr w:type="gramEnd"/>
    </w:p>
    <w:p w14:paraId="1FB716A1" w14:textId="77777777" w:rsidR="004E73B7" w:rsidRDefault="008926D7">
      <w:pPr>
        <w:pStyle w:val="Body1"/>
      </w:pPr>
      <w:r>
        <w:t>“</w:t>
      </w:r>
      <w:r>
        <w:rPr>
          <w:b/>
          <w:bCs/>
        </w:rPr>
        <w:t>Confidential Information</w:t>
      </w:r>
      <w:r>
        <w:t xml:space="preserve">” has the meaning given to it in Clause </w:t>
      </w:r>
      <w:r>
        <w:fldChar w:fldCharType="begin"/>
      </w:r>
      <w:r>
        <w:instrText xml:space="preserve"> REF _Ref57745671 \r \h </w:instrText>
      </w:r>
      <w:r>
        <w:fldChar w:fldCharType="separate"/>
      </w:r>
      <w:r>
        <w:t>3.1.1</w:t>
      </w:r>
      <w:r>
        <w:fldChar w:fldCharType="end"/>
      </w:r>
      <w:r>
        <w:t>;</w:t>
      </w:r>
    </w:p>
    <w:p w14:paraId="4DEBD735" w14:textId="77777777" w:rsidR="004E73B7" w:rsidRDefault="008926D7">
      <w:pPr>
        <w:pStyle w:val="Body1"/>
        <w:rPr>
          <w:b/>
          <w:bCs/>
          <w:i/>
          <w:iCs/>
        </w:rPr>
      </w:pPr>
      <w:r>
        <w:t>“</w:t>
      </w:r>
      <w:r>
        <w:rPr>
          <w:b/>
          <w:bCs/>
        </w:rPr>
        <w:t>Control</w:t>
      </w:r>
      <w:r>
        <w:t>” means the power (whether direct or indirect through one or more other persons) to direct or cause the direction of a person’s affairs, whether by means of holding shares, possessing voting power, exercising contractual powers or otherwise, and “</w:t>
      </w:r>
      <w:r>
        <w:rPr>
          <w:b/>
          <w:bCs/>
        </w:rPr>
        <w:t>Controlled</w:t>
      </w:r>
      <w:r>
        <w:t xml:space="preserve">” will be construed </w:t>
      </w:r>
      <w:proofErr w:type="gramStart"/>
      <w:r>
        <w:t>accordingly;</w:t>
      </w:r>
      <w:proofErr w:type="gramEnd"/>
    </w:p>
    <w:p w14:paraId="6BABF959" w14:textId="77777777" w:rsidR="004E73B7" w:rsidRDefault="008926D7">
      <w:pPr>
        <w:pStyle w:val="Body1"/>
      </w:pPr>
      <w:r>
        <w:t>“</w:t>
      </w:r>
      <w:r>
        <w:rPr>
          <w:b/>
          <w:bCs/>
        </w:rPr>
        <w:t>Designated Procurement Agency</w:t>
      </w:r>
      <w:r>
        <w:t xml:space="preserve">” means any procurement agency designated by Gavi and acting on Gavi’s behalf in procuring Vaccine under the </w:t>
      </w:r>
      <w:proofErr w:type="gramStart"/>
      <w:r>
        <w:t>APA;</w:t>
      </w:r>
      <w:proofErr w:type="gramEnd"/>
    </w:p>
    <w:p w14:paraId="3F89B727" w14:textId="77777777" w:rsidR="004E73B7" w:rsidRDefault="008926D7">
      <w:pPr>
        <w:pStyle w:val="Body1"/>
        <w:rPr>
          <w:b/>
          <w:bCs/>
          <w:i/>
          <w:iCs/>
        </w:rPr>
      </w:pPr>
      <w:r>
        <w:t>“</w:t>
      </w:r>
      <w:r>
        <w:rPr>
          <w:b/>
          <w:bCs/>
        </w:rPr>
        <w:t>Group</w:t>
      </w:r>
      <w:r>
        <w:t xml:space="preserve">” means, in respect of any person, any persons that Control, are Controlled by or are under the common Control with that person from time to </w:t>
      </w:r>
      <w:proofErr w:type="gramStart"/>
      <w:r>
        <w:t>time;</w:t>
      </w:r>
      <w:proofErr w:type="gramEnd"/>
    </w:p>
    <w:p w14:paraId="21443BB2" w14:textId="77777777" w:rsidR="004E73B7" w:rsidRDefault="008926D7">
      <w:pPr>
        <w:pStyle w:val="Body1"/>
      </w:pPr>
      <w:r>
        <w:t>“</w:t>
      </w:r>
      <w:r>
        <w:rPr>
          <w:b/>
          <w:bCs/>
        </w:rPr>
        <w:t>Indemnified Claim</w:t>
      </w:r>
      <w:r>
        <w:t xml:space="preserve">” means a claim in respect of which the COVAX Participant has an obligation to indemnify the Indemnified Persons pursuant to Clause </w:t>
      </w:r>
      <w:r>
        <w:fldChar w:fldCharType="begin"/>
      </w:r>
      <w:r>
        <w:instrText xml:space="preserve"> REF _Ref52372630 \r \h </w:instrText>
      </w:r>
      <w:r>
        <w:fldChar w:fldCharType="separate"/>
      </w:r>
      <w:r>
        <w:t>2.1</w:t>
      </w:r>
      <w:r>
        <w:fldChar w:fldCharType="end"/>
      </w:r>
      <w:r>
        <w:t>;</w:t>
      </w:r>
    </w:p>
    <w:p w14:paraId="51B2DE0D" w14:textId="77777777" w:rsidR="004E73B7" w:rsidRDefault="008926D7">
      <w:pPr>
        <w:pStyle w:val="Body1"/>
        <w:rPr>
          <w:b/>
          <w:bCs/>
          <w:i/>
          <w:iCs/>
        </w:rPr>
      </w:pPr>
      <w:r>
        <w:lastRenderedPageBreak/>
        <w:t>“</w:t>
      </w:r>
      <w:r>
        <w:rPr>
          <w:b/>
          <w:bCs/>
        </w:rPr>
        <w:t>Indemnified Persons</w:t>
      </w:r>
      <w:r>
        <w:t xml:space="preserve">” shall have the meaning given in Clause </w:t>
      </w:r>
      <w:r>
        <w:fldChar w:fldCharType="begin"/>
      </w:r>
      <w:r>
        <w:instrText xml:space="preserve"> REF _Ref52372630 \r \h </w:instrText>
      </w:r>
      <w:r>
        <w:fldChar w:fldCharType="separate"/>
      </w:r>
      <w:r>
        <w:t>2.1</w:t>
      </w:r>
      <w:r>
        <w:fldChar w:fldCharType="end"/>
      </w:r>
      <w:r>
        <w:t>;</w:t>
      </w:r>
    </w:p>
    <w:p w14:paraId="55FD7003" w14:textId="77777777" w:rsidR="004E73B7" w:rsidRDefault="008926D7">
      <w:pPr>
        <w:pStyle w:val="Body1"/>
      </w:pPr>
      <w:r>
        <w:t>“</w:t>
      </w:r>
      <w:r>
        <w:rPr>
          <w:b/>
          <w:bCs/>
        </w:rPr>
        <w:t>Losses</w:t>
      </w:r>
      <w:r>
        <w:t xml:space="preserve">” shall have the meaning given in Clause </w:t>
      </w:r>
      <w:r>
        <w:fldChar w:fldCharType="begin"/>
      </w:r>
      <w:r>
        <w:instrText xml:space="preserve"> REF _Ref52372630 \r \h </w:instrText>
      </w:r>
      <w:r>
        <w:fldChar w:fldCharType="separate"/>
      </w:r>
      <w:r>
        <w:t>2.1</w:t>
      </w:r>
      <w:r>
        <w:fldChar w:fldCharType="end"/>
      </w:r>
      <w:r>
        <w:t xml:space="preserve">; </w:t>
      </w:r>
    </w:p>
    <w:p w14:paraId="76BF1461" w14:textId="77777777" w:rsidR="004E73B7" w:rsidRDefault="008926D7">
      <w:pPr>
        <w:pStyle w:val="Body1"/>
      </w:pPr>
      <w:r>
        <w:t>“</w:t>
      </w:r>
      <w:r>
        <w:rPr>
          <w:b/>
          <w:bCs/>
        </w:rPr>
        <w:t>Person</w:t>
      </w:r>
      <w:r>
        <w:t xml:space="preserve">” means an individual, sole proprietorship, partnership, limited partnership, limited liability partnership, corporation, limited liability company, business trust, joint stock company, trust, incorporated association, joint venture or similar entity or organization, including a government or political subdivision, department or agency of a </w:t>
      </w:r>
      <w:proofErr w:type="gramStart"/>
      <w:r>
        <w:t>government;</w:t>
      </w:r>
      <w:proofErr w:type="gramEnd"/>
    </w:p>
    <w:p w14:paraId="1B7DBFA8" w14:textId="77777777" w:rsidR="004E73B7" w:rsidRDefault="008926D7">
      <w:pPr>
        <w:pStyle w:val="Body1"/>
      </w:pPr>
      <w:r>
        <w:t>“</w:t>
      </w:r>
      <w:r>
        <w:rPr>
          <w:b/>
          <w:bCs/>
        </w:rPr>
        <w:t>Privileges and Immunitie</w:t>
      </w:r>
      <w:r>
        <w:t xml:space="preserve">s” means any privileges, immunities, or legislation in </w:t>
      </w:r>
      <w:r>
        <w:rPr>
          <w:highlight w:val="yellow"/>
        </w:rPr>
        <w:t>[Country]</w:t>
      </w:r>
      <w:r>
        <w:rPr>
          <w:rStyle w:val="FootnoteReference"/>
          <w:highlight w:val="yellow"/>
        </w:rPr>
        <w:footnoteReference w:id="1"/>
      </w:r>
      <w:r>
        <w:t xml:space="preserve">, including no-fault vaccine compensation programs, pandemic insurance programs, immunities from suit or liability, or any protections, </w:t>
      </w:r>
      <w:proofErr w:type="spellStart"/>
      <w:r>
        <w:t>defenses</w:t>
      </w:r>
      <w:proofErr w:type="spellEnd"/>
      <w:r>
        <w:t xml:space="preserve">, or limitations-of-liability (whether statutory, regulatory, common law or otherwise), existing or future, that may separately protect Indemnified Persons from </w:t>
      </w:r>
      <w:proofErr w:type="gramStart"/>
      <w:r>
        <w:t>Losses;</w:t>
      </w:r>
      <w:proofErr w:type="gramEnd"/>
    </w:p>
    <w:p w14:paraId="422E5198" w14:textId="77777777" w:rsidR="004E73B7" w:rsidRDefault="008926D7">
      <w:pPr>
        <w:pStyle w:val="Body1"/>
      </w:pPr>
      <w:r>
        <w:t>“</w:t>
      </w:r>
      <w:r>
        <w:rPr>
          <w:b/>
          <w:bCs/>
        </w:rPr>
        <w:t>Serious Injury</w:t>
      </w:r>
      <w:r>
        <w:t xml:space="preserve">” means a physical injury that is life-threatening, or results in or requires medical or surgical intervention to preclude permanent impairment of a body function or results in permanent damage to a body </w:t>
      </w:r>
      <w:proofErr w:type="gramStart"/>
      <w:r>
        <w:t>structure;</w:t>
      </w:r>
      <w:proofErr w:type="gramEnd"/>
    </w:p>
    <w:p w14:paraId="05FD0B97" w14:textId="77777777" w:rsidR="004E73B7" w:rsidRDefault="008926D7">
      <w:pPr>
        <w:pStyle w:val="Body1"/>
      </w:pPr>
      <w:r>
        <w:t>“</w:t>
      </w:r>
      <w:r>
        <w:rPr>
          <w:b/>
          <w:bCs/>
        </w:rPr>
        <w:t>Vaccine</w:t>
      </w:r>
      <w:r>
        <w:t>” or “</w:t>
      </w:r>
      <w:r>
        <w:rPr>
          <w:b/>
          <w:bCs/>
        </w:rPr>
        <w:t>Vaccines</w:t>
      </w:r>
      <w:r>
        <w:t xml:space="preserve">” means (a) all vaccines manufactured, in whole or in part, or supplied, directly or indirectly, by or on behalf of the Manufacturer or </w:t>
      </w:r>
      <w:proofErr w:type="spellStart"/>
      <w:r>
        <w:t>BioNTech</w:t>
      </w:r>
      <w:proofErr w:type="spellEnd"/>
      <w:r>
        <w:t xml:space="preserve"> or any of their Affiliates that are intended for the prevention of the human disease COVID-19 or any other human disease, in each case which is caused by any of the virus SARS-CoV-2, and/or any or all related strains, mutations, modifications or derivatives of the foregoing, (b) any device, technology, or product used in the administration of, or to enhance the use or effect of, such vaccine, (c) any component or constituent material of (a)-(b), or (d) any use or application of any product referred to in (a)-(b); and</w:t>
      </w:r>
    </w:p>
    <w:p w14:paraId="57B24B63" w14:textId="3780FED8" w:rsidR="004E73B7" w:rsidRDefault="008926D7">
      <w:pPr>
        <w:pStyle w:val="Body1"/>
      </w:pPr>
      <w:r>
        <w:t>“</w:t>
      </w:r>
      <w:r>
        <w:rPr>
          <w:b/>
          <w:bCs/>
        </w:rPr>
        <w:t>Wilful Misconduct</w:t>
      </w:r>
      <w:r>
        <w:t xml:space="preserve">” means a wrongful act, willingly and knowingly committed without legal or factual justification, with the intent to cause the harmful effects. Each element of </w:t>
      </w:r>
      <w:r w:rsidR="00E911AB">
        <w:t>wilful</w:t>
      </w:r>
      <w:r>
        <w:t xml:space="preserve"> misconduct must be shown by clear and convincing evidence.  Further, an alleged act or omission shall not constitute </w:t>
      </w:r>
      <w:r w:rsidR="00E911AB">
        <w:t>wilful</w:t>
      </w:r>
      <w:r>
        <w:t xml:space="preserve"> misconduct if the </w:t>
      </w:r>
      <w:r w:rsidR="00330BD9">
        <w:rPr>
          <w:highlight w:val="yellow"/>
        </w:rPr>
        <w:t>[APPLICABLE REGULATORY AUTHORITY]</w:t>
      </w:r>
      <w:r w:rsidR="00330BD9">
        <w:rPr>
          <w:rStyle w:val="FootnoteReference"/>
          <w:highlight w:val="yellow"/>
        </w:rPr>
        <w:footnoteReference w:id="2"/>
      </w:r>
      <w:r w:rsidR="00330BD9">
        <w:rPr>
          <w:rFonts w:eastAsia="Times New Roman"/>
        </w:rPr>
        <w:t xml:space="preserve"> or, where doses from the same lot of the product have been supplied in jurisdictions over which the US Food and Drug Administration or the European Medicines Agency / the European </w:t>
      </w:r>
      <w:r w:rsidR="00330BD9" w:rsidRPr="00330BD9">
        <w:rPr>
          <w:rFonts w:eastAsia="Times New Roman"/>
        </w:rPr>
        <w:t xml:space="preserve">Commission has supervisory functions </w:t>
      </w:r>
      <w:r w:rsidR="00330BD9">
        <w:rPr>
          <w:rFonts w:eastAsia="Times New Roman"/>
        </w:rPr>
        <w:t xml:space="preserve">that </w:t>
      </w:r>
      <w:r w:rsidR="00330BD9" w:rsidRPr="00330BD9">
        <w:rPr>
          <w:rFonts w:eastAsia="Times New Roman"/>
        </w:rPr>
        <w:t>competent authorit</w:t>
      </w:r>
      <w:r w:rsidR="00330BD9">
        <w:rPr>
          <w:rFonts w:eastAsia="Times New Roman"/>
        </w:rPr>
        <w:t>y,</w:t>
      </w:r>
      <w:r w:rsidR="00330BD9" w:rsidRPr="00330BD9">
        <w:t xml:space="preserve"> </w:t>
      </w:r>
      <w:r w:rsidRPr="00330BD9">
        <w:t>d</w:t>
      </w:r>
      <w:r>
        <w:t>oes not take an enforcement action against an Indemnified Person, or initiates an enforcement action but terminates or resolves the action without a criminal conviction, a civil monetary payment, a product recall, or a suspension or withdrawal of an approval or clearance</w:t>
      </w:r>
    </w:p>
    <w:p w14:paraId="6E030342" w14:textId="77777777" w:rsidR="004E73B7" w:rsidRDefault="008926D7">
      <w:pPr>
        <w:pStyle w:val="Level2"/>
        <w:numPr>
          <w:ilvl w:val="1"/>
          <w:numId w:val="10"/>
        </w:numPr>
        <w:rPr>
          <w:b/>
          <w:bCs/>
        </w:rPr>
      </w:pPr>
      <w:r>
        <w:rPr>
          <w:b/>
          <w:bCs/>
        </w:rPr>
        <w:t>Interpretation</w:t>
      </w:r>
    </w:p>
    <w:p w14:paraId="04A0E335" w14:textId="77777777" w:rsidR="004E73B7" w:rsidRDefault="008926D7">
      <w:pPr>
        <w:pStyle w:val="Level3"/>
        <w:numPr>
          <w:ilvl w:val="2"/>
          <w:numId w:val="10"/>
        </w:numPr>
      </w:pPr>
      <w:r>
        <w:t>References to the “</w:t>
      </w:r>
      <w:r>
        <w:rPr>
          <w:b/>
        </w:rPr>
        <w:t>Parties</w:t>
      </w:r>
      <w:r>
        <w:t>” mean the COVAX Participant and the Manufacturer and their respective successors and permitted assigns.</w:t>
      </w:r>
    </w:p>
    <w:p w14:paraId="2B390ED8" w14:textId="77777777" w:rsidR="004E73B7" w:rsidRDefault="008926D7">
      <w:pPr>
        <w:pStyle w:val="Level3"/>
        <w:numPr>
          <w:ilvl w:val="2"/>
          <w:numId w:val="10"/>
        </w:numPr>
      </w:pPr>
      <w:bookmarkStart w:id="12" w:name="_Ref57112131"/>
      <w:r>
        <w:t>References to a statute or statutory provision include:</w:t>
      </w:r>
    </w:p>
    <w:p w14:paraId="46FB3CD9" w14:textId="77777777" w:rsidR="004E73B7" w:rsidRDefault="008926D7">
      <w:pPr>
        <w:pStyle w:val="Level4"/>
        <w:numPr>
          <w:ilvl w:val="3"/>
          <w:numId w:val="10"/>
        </w:numPr>
      </w:pPr>
      <w:r>
        <w:t>that statute or statutory provision as from time to time modified, re-enacted or consolidated, whether before or after the date of this Agreement; and</w:t>
      </w:r>
    </w:p>
    <w:p w14:paraId="2F5A3C81" w14:textId="77777777" w:rsidR="004E73B7" w:rsidRDefault="008926D7">
      <w:pPr>
        <w:pStyle w:val="Level4"/>
        <w:numPr>
          <w:ilvl w:val="3"/>
          <w:numId w:val="10"/>
        </w:numPr>
      </w:pPr>
      <w:r>
        <w:t>any subordinate legislation made from time to time under that statute or statutory provision.</w:t>
      </w:r>
    </w:p>
    <w:p w14:paraId="33CFFB61" w14:textId="77777777" w:rsidR="004E73B7" w:rsidRDefault="008926D7">
      <w:pPr>
        <w:pStyle w:val="Level1"/>
        <w:numPr>
          <w:ilvl w:val="0"/>
          <w:numId w:val="10"/>
        </w:numPr>
      </w:pPr>
      <w:bookmarkStart w:id="13" w:name="_Ref57230954"/>
      <w:bookmarkStart w:id="14" w:name="_Toc58842088"/>
      <w:bookmarkStart w:id="15" w:name="_Toc61475527"/>
      <w:bookmarkStart w:id="16" w:name="_Toc61593483"/>
      <w:bookmarkStart w:id="17" w:name="_Toc61543099"/>
      <w:r>
        <w:lastRenderedPageBreak/>
        <w:t>Indemnifications</w:t>
      </w:r>
      <w:bookmarkEnd w:id="12"/>
      <w:bookmarkEnd w:id="13"/>
      <w:bookmarkEnd w:id="14"/>
      <w:bookmarkEnd w:id="15"/>
      <w:bookmarkEnd w:id="16"/>
      <w:bookmarkEnd w:id="17"/>
      <w:r>
        <w:t xml:space="preserve"> </w:t>
      </w:r>
    </w:p>
    <w:p w14:paraId="4CEB7BE6" w14:textId="77777777" w:rsidR="004E73B7" w:rsidRDefault="008926D7">
      <w:pPr>
        <w:pStyle w:val="Level2"/>
        <w:numPr>
          <w:ilvl w:val="1"/>
          <w:numId w:val="10"/>
        </w:numPr>
        <w:rPr>
          <w:b/>
          <w:bCs/>
        </w:rPr>
      </w:pPr>
      <w:bookmarkStart w:id="18" w:name="_Ref52315489"/>
      <w:bookmarkStart w:id="19" w:name="_Ref52372630"/>
      <w:r>
        <w:rPr>
          <w:b/>
          <w:bCs/>
        </w:rPr>
        <w:t>Indemnity</w:t>
      </w:r>
      <w:bookmarkEnd w:id="18"/>
      <w:bookmarkEnd w:id="19"/>
    </w:p>
    <w:p w14:paraId="00FD0139" w14:textId="77777777" w:rsidR="004E73B7" w:rsidRDefault="008926D7">
      <w:pPr>
        <w:pStyle w:val="Level3"/>
        <w:numPr>
          <w:ilvl w:val="0"/>
          <w:numId w:val="0"/>
        </w:numPr>
        <w:ind w:left="680"/>
      </w:pPr>
      <w:bookmarkStart w:id="20" w:name="_Ref52556739"/>
      <w:bookmarkStart w:id="21" w:name="_Hlk53663389"/>
      <w:r>
        <w:t xml:space="preserve">Subject to Clause </w:t>
      </w:r>
      <w:r>
        <w:fldChar w:fldCharType="begin"/>
      </w:r>
      <w:r>
        <w:instrText xml:space="preserve"> REF _Ref57150973 \r \h </w:instrText>
      </w:r>
      <w:r>
        <w:fldChar w:fldCharType="separate"/>
      </w:r>
      <w:r>
        <w:t>2.2</w:t>
      </w:r>
      <w:r>
        <w:fldChar w:fldCharType="end"/>
      </w:r>
      <w:r>
        <w:t xml:space="preserve">, the COVAX Participant hereby agrees to indemnify, defend and hold harmless the Manufacturer, </w:t>
      </w:r>
      <w:proofErr w:type="spellStart"/>
      <w:r>
        <w:t>BioNTech</w:t>
      </w:r>
      <w:proofErr w:type="spellEnd"/>
      <w:r>
        <w:t xml:space="preserve">, each of their Affiliates, contractors, sub-contractors, licensors, licensees, sub-licensees, distributors, contract manufacturers, services providers, clinical trial researchers, third parties to whom the Manufacturer or </w:t>
      </w:r>
      <w:proofErr w:type="spellStart"/>
      <w:r>
        <w:t>BioNTech</w:t>
      </w:r>
      <w:proofErr w:type="spellEnd"/>
      <w:r>
        <w:t xml:space="preserve"> or any of their respective Affiliates may directly or indirectly owe an indemnity based on the research, development, manufacture, distribution, commercialization or use of the Vaccine, and each of the officers, directors, employees and other agents and representatives, and the respective predecessors, successors and assigns of any of the foregoing (“</w:t>
      </w:r>
      <w:r>
        <w:rPr>
          <w:b/>
          <w:bCs/>
        </w:rPr>
        <w:t>Indemnified Person</w:t>
      </w:r>
      <w:r>
        <w:t>”), from and against any and all suits, claims, actions, demands, losses, damages, liabilities, settlements, penalties, fines, costs and expenses (including reasonable attorneys’ and other counsels’ fees and other expenses of an investigation or litigation), whether sounding in contract, tort (delict), intellectual property, or any other theory, and whether legal, statutory, equitable or otherwise by any natural or legal person (collectively, “</w:t>
      </w:r>
      <w:r>
        <w:rPr>
          <w:b/>
          <w:bCs/>
        </w:rPr>
        <w:t>Losses</w:t>
      </w:r>
      <w:r>
        <w:t xml:space="preserve">”) caused by, arising out of, relating to, or resulting  from the Vaccine, including but not limited to any stage of design, development, investigation, formulation, testing, clinical testing, manufacture, </w:t>
      </w:r>
      <w:proofErr w:type="spellStart"/>
      <w:r>
        <w:t>labeling</w:t>
      </w:r>
      <w:proofErr w:type="spellEnd"/>
      <w:r>
        <w:t>, packaging, transport, storage, distribution, marketing, promotion, sale, purchase, licensing, donation, dispensing, prescribing, administration, provision, or use of the Vaccine, any information, instructions, advice or guidance provided by suppliers and relating to the use of the Vaccine, or any processing or transfer of anyone’s personal information processed and transferred by the COVAX Participant to the Indemnified Person.</w:t>
      </w:r>
    </w:p>
    <w:p w14:paraId="052492F2" w14:textId="77777777" w:rsidR="004E73B7" w:rsidRDefault="008926D7">
      <w:pPr>
        <w:pStyle w:val="Level2"/>
        <w:numPr>
          <w:ilvl w:val="1"/>
          <w:numId w:val="10"/>
        </w:numPr>
        <w:rPr>
          <w:b/>
          <w:bCs/>
        </w:rPr>
      </w:pPr>
      <w:bookmarkStart w:id="22" w:name="_Ref57150973"/>
      <w:r>
        <w:rPr>
          <w:b/>
          <w:bCs/>
        </w:rPr>
        <w:t>Exceptions</w:t>
      </w:r>
      <w:bookmarkEnd w:id="20"/>
      <w:bookmarkEnd w:id="22"/>
    </w:p>
    <w:p w14:paraId="6725F9F9" w14:textId="77777777" w:rsidR="004E73B7" w:rsidRDefault="008926D7">
      <w:pPr>
        <w:pStyle w:val="Level3"/>
        <w:numPr>
          <w:ilvl w:val="2"/>
          <w:numId w:val="10"/>
        </w:numPr>
      </w:pPr>
      <w:r>
        <w:t xml:space="preserve">Clause </w:t>
      </w:r>
      <w:r>
        <w:fldChar w:fldCharType="begin"/>
      </w:r>
      <w:r>
        <w:instrText xml:space="preserve"> REF _Ref52372630 \r \h </w:instrText>
      </w:r>
      <w:r>
        <w:fldChar w:fldCharType="separate"/>
      </w:r>
      <w:r>
        <w:t>2.1</w:t>
      </w:r>
      <w:r>
        <w:fldChar w:fldCharType="end"/>
      </w:r>
      <w:r>
        <w:t xml:space="preserve"> shall not apply if such Losses were directly caused by the Wilful Misconduct of an Indemnified Person that resulted in death or Serious Injury to a third party.  </w:t>
      </w:r>
    </w:p>
    <w:bookmarkEnd w:id="21"/>
    <w:p w14:paraId="36F3A34D" w14:textId="77777777" w:rsidR="004E73B7" w:rsidRDefault="008926D7">
      <w:pPr>
        <w:pStyle w:val="Level2"/>
        <w:numPr>
          <w:ilvl w:val="1"/>
          <w:numId w:val="10"/>
        </w:numPr>
        <w:rPr>
          <w:b/>
          <w:bCs/>
        </w:rPr>
      </w:pPr>
      <w:r>
        <w:rPr>
          <w:b/>
          <w:bCs/>
        </w:rPr>
        <w:t>Conduct of Indemnified Claims</w:t>
      </w:r>
    </w:p>
    <w:p w14:paraId="3BCC9365" w14:textId="7C80A3D3" w:rsidR="004E73B7" w:rsidRDefault="008926D7">
      <w:pPr>
        <w:pStyle w:val="Level3"/>
        <w:numPr>
          <w:ilvl w:val="2"/>
          <w:numId w:val="10"/>
        </w:numPr>
      </w:pPr>
      <w:bookmarkStart w:id="23" w:name="_Ref57287701"/>
      <w:r>
        <w:t xml:space="preserve">The Indemnified Person shall notify the COVAX Participant </w:t>
      </w:r>
      <w:bookmarkEnd w:id="23"/>
      <w:r>
        <w:t xml:space="preserve">of Losses for which it is seeking indemnification </w:t>
      </w:r>
      <w:r w:rsidR="00E911AB">
        <w:t xml:space="preserve">hereunder </w:t>
      </w:r>
      <w:r>
        <w:t xml:space="preserve">pursuant </w:t>
      </w:r>
      <w:r w:rsidR="00E911AB">
        <w:t xml:space="preserve">to </w:t>
      </w:r>
      <w:r>
        <w:t xml:space="preserve">an Indemnified Claim. </w:t>
      </w:r>
    </w:p>
    <w:p w14:paraId="323F5C0A" w14:textId="77777777" w:rsidR="004E73B7" w:rsidRDefault="008926D7">
      <w:pPr>
        <w:pStyle w:val="Level3"/>
        <w:numPr>
          <w:ilvl w:val="2"/>
          <w:numId w:val="10"/>
        </w:numPr>
      </w:pPr>
      <w:r>
        <w:t xml:space="preserve">Upon such notification, the Indemnified Person shall have the option to conduct and control the </w:t>
      </w:r>
      <w:proofErr w:type="spellStart"/>
      <w:r>
        <w:t>defense</w:t>
      </w:r>
      <w:proofErr w:type="spellEnd"/>
      <w:r>
        <w:t xml:space="preserve"> or to require the COVAX Participant to promptly assume conduct and control of the </w:t>
      </w:r>
      <w:proofErr w:type="spellStart"/>
      <w:r>
        <w:t>defense</w:t>
      </w:r>
      <w:proofErr w:type="spellEnd"/>
      <w:r>
        <w:t xml:space="preserve"> of such Indemnified Claims with counsel acceptable to Indemnified Person(s), whether or not the Indemnified Claim is rightfully brought; provided, however, that the COVAX Participant shall provide advance notice in writing of any proposed compromise or settlement of any Indemnified Claim and in no event may COVAX Participant compromise or settle any Indemnified Claim without Indemnified Person(s)’s prior written consent, such consent not to be unreasonably withheld.  Indemnified Person(s) shall reasonably cooperate with COVAX Participant in the </w:t>
      </w:r>
      <w:proofErr w:type="spellStart"/>
      <w:r>
        <w:t>defense</w:t>
      </w:r>
      <w:proofErr w:type="spellEnd"/>
      <w:r>
        <w:t xml:space="preserve"> of any Indemnified Claims conducted and controlled by the COVAX Participant.  </w:t>
      </w:r>
    </w:p>
    <w:p w14:paraId="43BAB703" w14:textId="77777777" w:rsidR="004E73B7" w:rsidRDefault="008926D7">
      <w:pPr>
        <w:pStyle w:val="Level3"/>
        <w:numPr>
          <w:ilvl w:val="2"/>
          <w:numId w:val="10"/>
        </w:numPr>
      </w:pPr>
      <w:r>
        <w:t xml:space="preserve">Each Indemnified Person shall have the right to retain its own counsel and to participate in the COVAX Participant’s </w:t>
      </w:r>
      <w:proofErr w:type="spellStart"/>
      <w:r>
        <w:t>defense</w:t>
      </w:r>
      <w:proofErr w:type="spellEnd"/>
      <w:r>
        <w:t xml:space="preserve"> of any Indemnified Claim, at its own cost and expense except as set forth below. A failure by the Indemnified Person(s) to give notice of Indemnified Claims or to offer to tender the </w:t>
      </w:r>
      <w:proofErr w:type="spellStart"/>
      <w:r>
        <w:t>defense</w:t>
      </w:r>
      <w:proofErr w:type="spellEnd"/>
      <w:r>
        <w:t xml:space="preserve"> of the action or suit pursuant to this section shall not limit the obligation of the COVAX Participant under this Article, except and only to the extent the COVAX Participant is </w:t>
      </w:r>
      <w:proofErr w:type="gramStart"/>
      <w:r>
        <w:t>actually prejudiced</w:t>
      </w:r>
      <w:proofErr w:type="gramEnd"/>
      <w:r>
        <w:t xml:space="preserve"> thereby.  </w:t>
      </w:r>
    </w:p>
    <w:p w14:paraId="6D0BBD96" w14:textId="77777777" w:rsidR="004E73B7" w:rsidRDefault="008926D7">
      <w:pPr>
        <w:pStyle w:val="Level3"/>
        <w:numPr>
          <w:ilvl w:val="2"/>
          <w:numId w:val="10"/>
        </w:numPr>
      </w:pPr>
      <w:r>
        <w:lastRenderedPageBreak/>
        <w:t xml:space="preserve">Notwithstanding the foregoing, the Manufacturer, directly or through any of its affiliates or through </w:t>
      </w:r>
      <w:proofErr w:type="spellStart"/>
      <w:r>
        <w:t>BioNTech</w:t>
      </w:r>
      <w:proofErr w:type="spellEnd"/>
      <w:r>
        <w:t xml:space="preserve">,  may elect to assume control of the </w:t>
      </w:r>
      <w:proofErr w:type="spellStart"/>
      <w:r>
        <w:t>defense</w:t>
      </w:r>
      <w:proofErr w:type="spellEnd"/>
      <w:r>
        <w:t xml:space="preserve"> of an Indemnified Claim (a) within thirty (30) days of Indemnified Person’s notice to COVAX Participant of the Indemnified Claim or (b) at any time if, in the Manufacturer’s sole discretion, (i) the COVAX Participant fails to timely assume the </w:t>
      </w:r>
      <w:proofErr w:type="spellStart"/>
      <w:r>
        <w:t>defense</w:t>
      </w:r>
      <w:proofErr w:type="spellEnd"/>
      <w:r>
        <w:t xml:space="preserve"> of or reasonably defend such Indemnified Claim(s) to the satisfaction of the </w:t>
      </w:r>
      <w:proofErr w:type="spellStart"/>
      <w:r>
        <w:t>the</w:t>
      </w:r>
      <w:proofErr w:type="spellEnd"/>
      <w:r>
        <w:t xml:space="preserve"> Manufacturer (and the Manufacturer’s affiliates and </w:t>
      </w:r>
      <w:proofErr w:type="spellStart"/>
      <w:r>
        <w:t>BioNTech</w:t>
      </w:r>
      <w:proofErr w:type="spellEnd"/>
      <w:r>
        <w:t xml:space="preserve">) or (ii) the Manufacturer believes (or any of the Manufacturer’s affiliates or </w:t>
      </w:r>
      <w:proofErr w:type="spellStart"/>
      <w:r>
        <w:t>BioNTech</w:t>
      </w:r>
      <w:proofErr w:type="spellEnd"/>
      <w:r>
        <w:t xml:space="preserve"> believe) in good faith that a bona fide conflict exists between Indemnified Person(s) and COVAX Participant with respect to an Indemnified Claim hereunder.  Upon written notice of such election, the Manufacturer shall have the right to assume control of such </w:t>
      </w:r>
      <w:proofErr w:type="spellStart"/>
      <w:r>
        <w:t>defense</w:t>
      </w:r>
      <w:proofErr w:type="spellEnd"/>
      <w:r>
        <w:t xml:space="preserve"> (directly or through either one of its affiliates or </w:t>
      </w:r>
      <w:proofErr w:type="spellStart"/>
      <w:r>
        <w:t>BioNTech</w:t>
      </w:r>
      <w:proofErr w:type="spellEnd"/>
      <w:r>
        <w:t xml:space="preserve">), and the COVAX Participant shall pay (as incurred and on demand), all Losses, including the reasonable attorneys’ fees and other expenses incurred by Indemnified Person(s), in connection with the Indemnified Claim.  In all events, the COVAX Participant shall cooperate with Indemnified Person(s) in the </w:t>
      </w:r>
      <w:proofErr w:type="spellStart"/>
      <w:r>
        <w:t>defense</w:t>
      </w:r>
      <w:proofErr w:type="spellEnd"/>
      <w:r>
        <w:t>, settlement or compromise of the Indemnified Claim.</w:t>
      </w:r>
    </w:p>
    <w:p w14:paraId="767518FA" w14:textId="77777777" w:rsidR="004E73B7" w:rsidRDefault="008926D7">
      <w:pPr>
        <w:pStyle w:val="Level3"/>
        <w:numPr>
          <w:ilvl w:val="2"/>
          <w:numId w:val="10"/>
        </w:numPr>
      </w:pPr>
      <w:r>
        <w:t xml:space="preserve">Costs and expenses, including fees and disbursements of counsel, incurred by the Indemnified Person(s) in connection with any Indemnified Claim shall be reimbursed on a quarterly basis by the COVAX Participant, without prejudice to the COVAX Participant’s right to refund </w:t>
      </w:r>
      <w:proofErr w:type="gramStart"/>
      <w:r>
        <w:t>in the event that</w:t>
      </w:r>
      <w:proofErr w:type="gramEnd"/>
      <w:r>
        <w:t xml:space="preserve"> the COVAX Participant is ultimately held in a final, non-appealable judgment to be not obligated to indemnify the Indemnified Person(s).</w:t>
      </w:r>
    </w:p>
    <w:p w14:paraId="054C27D5" w14:textId="77777777" w:rsidR="004E73B7" w:rsidRDefault="008926D7">
      <w:pPr>
        <w:pStyle w:val="Level3"/>
        <w:numPr>
          <w:ilvl w:val="2"/>
          <w:numId w:val="10"/>
        </w:numPr>
      </w:pPr>
      <w:r>
        <w:t>COVAX Participant acknowledges that its indemnification obligations under this Agreement are (1) expressly in addition to, and not limited by, any Privileges and Immunities, and (2) do not waive or relinquish Indemnified Persons rights to any Privileges and Immunities.</w:t>
      </w:r>
    </w:p>
    <w:p w14:paraId="55A0D757" w14:textId="77777777" w:rsidR="004E73B7" w:rsidRDefault="008926D7">
      <w:pPr>
        <w:pStyle w:val="Level1"/>
        <w:numPr>
          <w:ilvl w:val="0"/>
          <w:numId w:val="10"/>
        </w:numPr>
      </w:pPr>
      <w:bookmarkStart w:id="24" w:name="_Toc58842089"/>
      <w:bookmarkStart w:id="25" w:name="_Toc61475529"/>
      <w:bookmarkStart w:id="26" w:name="_Toc61593484"/>
      <w:bookmarkStart w:id="27" w:name="_Toc61543100"/>
      <w:r>
        <w:t>Confidentiality</w:t>
      </w:r>
      <w:bookmarkEnd w:id="24"/>
      <w:bookmarkEnd w:id="25"/>
      <w:bookmarkEnd w:id="26"/>
      <w:bookmarkEnd w:id="27"/>
    </w:p>
    <w:p w14:paraId="167210F4" w14:textId="77777777" w:rsidR="004E73B7" w:rsidRDefault="008926D7">
      <w:pPr>
        <w:pStyle w:val="Level3"/>
        <w:numPr>
          <w:ilvl w:val="2"/>
          <w:numId w:val="10"/>
        </w:numPr>
      </w:pPr>
      <w:bookmarkStart w:id="28" w:name="_Ref266967159"/>
      <w:bookmarkStart w:id="29" w:name="_Ref57745671"/>
      <w:r>
        <w:t>Each Party shall treat as strictly confidential and not disclose or use any information received or obtained in connection with this Agreement (or any agreement entered into pursuant to this Agreement) in addition to the terms of this Agreement (collectively, “</w:t>
      </w:r>
      <w:r>
        <w:rPr>
          <w:b/>
          <w:bCs/>
        </w:rPr>
        <w:t>Confidential Information</w:t>
      </w:r>
      <w:r>
        <w:t xml:space="preserve">”), unless </w:t>
      </w:r>
      <w:bookmarkEnd w:id="28"/>
      <w:r>
        <w:t>the disclosing Party has given prior written approval to the disclosure or use.</w:t>
      </w:r>
      <w:bookmarkEnd w:id="29"/>
    </w:p>
    <w:p w14:paraId="31012D25" w14:textId="77777777" w:rsidR="004E73B7" w:rsidRDefault="008926D7">
      <w:pPr>
        <w:pStyle w:val="Level3"/>
        <w:numPr>
          <w:ilvl w:val="2"/>
          <w:numId w:val="10"/>
        </w:numPr>
      </w:pPr>
      <w:r>
        <w:t xml:space="preserve">The provisions of Clause </w:t>
      </w:r>
      <w:r>
        <w:fldChar w:fldCharType="begin"/>
      </w:r>
      <w:r>
        <w:instrText xml:space="preserve"> REF _Ref266967159 \r \h </w:instrText>
      </w:r>
      <w:r>
        <w:fldChar w:fldCharType="separate"/>
      </w:r>
      <w:r>
        <w:t>3.1.1</w:t>
      </w:r>
      <w:r>
        <w:fldChar w:fldCharType="end"/>
      </w:r>
      <w:r>
        <w:t xml:space="preserve"> above shall not prohibit disclosure or use of Confidential Information if and to the extent: </w:t>
      </w:r>
    </w:p>
    <w:p w14:paraId="152DA961" w14:textId="77777777" w:rsidR="004E73B7" w:rsidRDefault="008926D7">
      <w:pPr>
        <w:pStyle w:val="Level4"/>
        <w:numPr>
          <w:ilvl w:val="3"/>
          <w:numId w:val="10"/>
        </w:numPr>
      </w:pPr>
      <w:r>
        <w:t xml:space="preserve">the Manufacturer and/or members of the Manufacturer’s Group use information provided by the COVAX Participant in relation to Indemnified Claims for its own business </w:t>
      </w:r>
      <w:proofErr w:type="gramStart"/>
      <w:r>
        <w:t>purposes;</w:t>
      </w:r>
      <w:proofErr w:type="gramEnd"/>
    </w:p>
    <w:p w14:paraId="13C7A5EA" w14:textId="77777777" w:rsidR="004E73B7" w:rsidRDefault="008926D7">
      <w:pPr>
        <w:pStyle w:val="Level4"/>
        <w:numPr>
          <w:ilvl w:val="3"/>
          <w:numId w:val="10"/>
        </w:numPr>
      </w:pPr>
      <w:r>
        <w:t xml:space="preserve">required by applicable law or regulation or for the purpose of any judicial or regulatory proceedings or to a tax authority in connection with the tax affairs of a Party or pursuant to any applicable listing </w:t>
      </w:r>
      <w:proofErr w:type="gramStart"/>
      <w:r>
        <w:t>rules;</w:t>
      </w:r>
      <w:proofErr w:type="gramEnd"/>
      <w:r>
        <w:t xml:space="preserve"> </w:t>
      </w:r>
    </w:p>
    <w:p w14:paraId="6D34B3E8" w14:textId="77777777" w:rsidR="004E73B7" w:rsidRDefault="008926D7">
      <w:pPr>
        <w:pStyle w:val="Level4"/>
        <w:numPr>
          <w:ilvl w:val="3"/>
          <w:numId w:val="10"/>
        </w:numPr>
      </w:pPr>
      <w:r>
        <w:t>it becomes publicly available other than as a result of a breach of an obligation of confidentiality; or</w:t>
      </w:r>
    </w:p>
    <w:p w14:paraId="19E6CA70" w14:textId="77777777" w:rsidR="004E73B7" w:rsidRDefault="008926D7">
      <w:pPr>
        <w:pStyle w:val="Level4"/>
        <w:numPr>
          <w:ilvl w:val="3"/>
          <w:numId w:val="10"/>
        </w:numPr>
      </w:pPr>
      <w:r>
        <w:t>the information is already in the lawful possession of the receiving Party or is independently developed by the receiving Party.</w:t>
      </w:r>
    </w:p>
    <w:p w14:paraId="45F0E79B" w14:textId="77777777" w:rsidR="004E73B7" w:rsidRDefault="008926D7">
      <w:pPr>
        <w:pStyle w:val="Level1"/>
        <w:numPr>
          <w:ilvl w:val="0"/>
          <w:numId w:val="10"/>
        </w:numPr>
      </w:pPr>
      <w:bookmarkStart w:id="30" w:name="_Toc58842090"/>
      <w:bookmarkStart w:id="31" w:name="_Toc61475530"/>
      <w:bookmarkStart w:id="32" w:name="_Toc61593485"/>
      <w:bookmarkStart w:id="33" w:name="_Toc61543101"/>
      <w:bookmarkStart w:id="34" w:name="_Toc527645472"/>
      <w:r>
        <w:lastRenderedPageBreak/>
        <w:t>Warranties</w:t>
      </w:r>
      <w:bookmarkEnd w:id="30"/>
      <w:bookmarkEnd w:id="31"/>
      <w:bookmarkEnd w:id="32"/>
      <w:bookmarkEnd w:id="33"/>
    </w:p>
    <w:p w14:paraId="45F1F2A2" w14:textId="77777777" w:rsidR="004E73B7" w:rsidRDefault="008926D7">
      <w:pPr>
        <w:pStyle w:val="Body1"/>
      </w:pPr>
      <w:bookmarkStart w:id="35" w:name="_Ref116309672"/>
      <w:r>
        <w:t>Each Party warrants and represents that, as at the date of this Agreement:</w:t>
      </w:r>
      <w:bookmarkEnd w:id="35"/>
    </w:p>
    <w:p w14:paraId="6DF61C12" w14:textId="77777777" w:rsidR="004E73B7" w:rsidRDefault="008926D7">
      <w:pPr>
        <w:pStyle w:val="Level4"/>
        <w:numPr>
          <w:ilvl w:val="3"/>
          <w:numId w:val="10"/>
        </w:numPr>
      </w:pPr>
      <w:bookmarkStart w:id="36" w:name="_Ref117573171"/>
      <w:r>
        <w:t xml:space="preserve">it has full capacity and authority to enter into and to perform this </w:t>
      </w:r>
      <w:proofErr w:type="gramStart"/>
      <w:r>
        <w:t>Agreement;</w:t>
      </w:r>
      <w:bookmarkEnd w:id="36"/>
      <w:proofErr w:type="gramEnd"/>
    </w:p>
    <w:p w14:paraId="159FDBF9" w14:textId="77777777" w:rsidR="004E73B7" w:rsidRDefault="008926D7">
      <w:pPr>
        <w:pStyle w:val="Level4"/>
        <w:numPr>
          <w:ilvl w:val="3"/>
          <w:numId w:val="10"/>
        </w:numPr>
      </w:pPr>
      <w:r>
        <w:t>this Agreement is executed by a duly authorised representative of that Party; and</w:t>
      </w:r>
    </w:p>
    <w:p w14:paraId="30C695A2" w14:textId="77777777" w:rsidR="004E73B7" w:rsidRDefault="008926D7">
      <w:pPr>
        <w:pStyle w:val="Level4"/>
        <w:numPr>
          <w:ilvl w:val="3"/>
          <w:numId w:val="10"/>
        </w:numPr>
        <w:rPr>
          <w:b/>
          <w:bCs/>
        </w:rPr>
      </w:pPr>
      <w:bookmarkStart w:id="37" w:name="_Ref117573306"/>
      <w:r>
        <w:t>once duly executed, this Agreement will constitute its legal, valid and binding obligations</w:t>
      </w:r>
      <w:bookmarkEnd w:id="37"/>
      <w:r>
        <w:t>.</w:t>
      </w:r>
    </w:p>
    <w:p w14:paraId="4D6727D7" w14:textId="77777777" w:rsidR="004E73B7" w:rsidRDefault="008926D7">
      <w:pPr>
        <w:pStyle w:val="Level1"/>
        <w:numPr>
          <w:ilvl w:val="0"/>
          <w:numId w:val="10"/>
        </w:numPr>
      </w:pPr>
      <w:bookmarkStart w:id="38" w:name="_Toc58842091"/>
      <w:bookmarkStart w:id="39" w:name="_Toc61475531"/>
      <w:bookmarkStart w:id="40" w:name="_Toc61593486"/>
      <w:bookmarkStart w:id="41" w:name="_Toc61543102"/>
      <w:r>
        <w:t>Reimbursement of Losses</w:t>
      </w:r>
      <w:bookmarkEnd w:id="38"/>
      <w:bookmarkEnd w:id="39"/>
      <w:bookmarkEnd w:id="40"/>
      <w:bookmarkEnd w:id="41"/>
    </w:p>
    <w:p w14:paraId="09704198" w14:textId="77777777" w:rsidR="004E73B7" w:rsidRDefault="008926D7">
      <w:pPr>
        <w:pStyle w:val="Body1"/>
      </w:pPr>
      <w:r>
        <w:t xml:space="preserve">The COVAX Participant shall reimburse Losses incurred by an Indemnified Person in respect of an Indemnified Claim on a quarterly basis, provided that at least one month in advance of each quarterly date the Indemnified Person has shared with the COVAX Participant reasonably satisfactory evidence of those Losses. </w:t>
      </w:r>
    </w:p>
    <w:p w14:paraId="32911992" w14:textId="77777777" w:rsidR="004E73B7" w:rsidRDefault="008926D7">
      <w:pPr>
        <w:pStyle w:val="Level1"/>
        <w:numPr>
          <w:ilvl w:val="0"/>
          <w:numId w:val="10"/>
        </w:numPr>
      </w:pPr>
      <w:bookmarkStart w:id="42" w:name="_Toc58842092"/>
      <w:bookmarkStart w:id="43" w:name="_Toc61475532"/>
      <w:bookmarkStart w:id="44" w:name="_Toc61593487"/>
      <w:bookmarkStart w:id="45" w:name="_Toc61543103"/>
      <w:r>
        <w:t>Other Provisions</w:t>
      </w:r>
      <w:bookmarkEnd w:id="34"/>
      <w:bookmarkEnd w:id="42"/>
      <w:bookmarkEnd w:id="43"/>
      <w:bookmarkEnd w:id="44"/>
      <w:bookmarkEnd w:id="45"/>
    </w:p>
    <w:p w14:paraId="038EB61B" w14:textId="77777777" w:rsidR="004E73B7" w:rsidRDefault="008926D7">
      <w:pPr>
        <w:pStyle w:val="Level2"/>
        <w:numPr>
          <w:ilvl w:val="1"/>
          <w:numId w:val="10"/>
        </w:numPr>
        <w:rPr>
          <w:b/>
          <w:bCs/>
        </w:rPr>
      </w:pPr>
      <w:bookmarkStart w:id="46" w:name="_Ref266978297"/>
      <w:r>
        <w:rPr>
          <w:b/>
          <w:bCs/>
        </w:rPr>
        <w:t>Whole Agreement</w:t>
      </w:r>
      <w:bookmarkEnd w:id="46"/>
    </w:p>
    <w:p w14:paraId="14ECE8E7" w14:textId="77777777" w:rsidR="004E73B7" w:rsidRDefault="008926D7">
      <w:pPr>
        <w:pStyle w:val="Level3"/>
        <w:numPr>
          <w:ilvl w:val="2"/>
          <w:numId w:val="10"/>
        </w:numPr>
      </w:pPr>
      <w:r>
        <w:t>This Agreement constitutes the entire agreement between the Parties with respect to the subject of this Agreement and (to the extent permissible by law) supersedes all prior representations or oral or written agreements between the Parties with respect to that subject matter.</w:t>
      </w:r>
    </w:p>
    <w:p w14:paraId="5FAF9725" w14:textId="77777777" w:rsidR="004E73B7" w:rsidRDefault="008926D7">
      <w:pPr>
        <w:pStyle w:val="Level3"/>
        <w:numPr>
          <w:ilvl w:val="2"/>
          <w:numId w:val="10"/>
        </w:numPr>
      </w:pPr>
      <w:r>
        <w:t>Each Party agrees and acknowledges that it has not been induced to enter into this Agreement by any representation, warranty or undertaking not expressly incorporated into it.</w:t>
      </w:r>
    </w:p>
    <w:p w14:paraId="6E464D3E" w14:textId="77777777" w:rsidR="004E73B7" w:rsidRDefault="008926D7">
      <w:pPr>
        <w:pStyle w:val="Level2"/>
        <w:numPr>
          <w:ilvl w:val="1"/>
          <w:numId w:val="10"/>
        </w:numPr>
        <w:rPr>
          <w:b/>
          <w:bCs/>
        </w:rPr>
      </w:pPr>
      <w:bookmarkStart w:id="47" w:name="_Ref266978996"/>
      <w:r>
        <w:rPr>
          <w:b/>
          <w:bCs/>
        </w:rPr>
        <w:t>Assignment</w:t>
      </w:r>
      <w:bookmarkEnd w:id="47"/>
      <w:r>
        <w:rPr>
          <w:b/>
          <w:bCs/>
        </w:rPr>
        <w:t xml:space="preserve"> </w:t>
      </w:r>
    </w:p>
    <w:p w14:paraId="1A0E2575" w14:textId="77777777" w:rsidR="004E73B7" w:rsidRDefault="008926D7">
      <w:pPr>
        <w:pStyle w:val="Level3"/>
        <w:numPr>
          <w:ilvl w:val="2"/>
          <w:numId w:val="10"/>
        </w:numPr>
      </w:pPr>
      <w:r>
        <w:t>Neither Party shall assign, novate or otherwise transfer any of its rights or obligations under this Agreement to any person without the prior written consent of the other Party (not to be unreasonably withheld or delayed).</w:t>
      </w:r>
    </w:p>
    <w:p w14:paraId="2BBFBC91" w14:textId="77777777" w:rsidR="004E73B7" w:rsidRDefault="008926D7">
      <w:pPr>
        <w:pStyle w:val="Level2"/>
        <w:numPr>
          <w:ilvl w:val="1"/>
          <w:numId w:val="10"/>
        </w:numPr>
        <w:rPr>
          <w:b/>
          <w:bCs/>
        </w:rPr>
      </w:pPr>
      <w:r>
        <w:rPr>
          <w:b/>
          <w:bCs/>
        </w:rPr>
        <w:t>Third Party Rights</w:t>
      </w:r>
    </w:p>
    <w:p w14:paraId="75B1CFF4" w14:textId="77777777" w:rsidR="004E73B7" w:rsidRDefault="008926D7">
      <w:pPr>
        <w:pStyle w:val="Level3"/>
        <w:numPr>
          <w:ilvl w:val="2"/>
          <w:numId w:val="13"/>
        </w:numPr>
        <w:spacing w:line="288" w:lineRule="auto"/>
      </w:pPr>
      <w:bookmarkStart w:id="48" w:name="_Ref266979060"/>
      <w:r>
        <w:t>A person who is not a Party to this Agreement has no right under the Contracts (Rights of Third Parties) Act 1999 to enforce any term of this Agreement</w:t>
      </w:r>
      <w:bookmarkEnd w:id="48"/>
      <w:r>
        <w:t xml:space="preserve"> </w:t>
      </w:r>
      <w:r>
        <w:rPr>
          <w:bCs/>
          <w:iCs/>
        </w:rPr>
        <w:t xml:space="preserve">except to the extent set out in Clause </w:t>
      </w:r>
      <w:r>
        <w:fldChar w:fldCharType="begin"/>
      </w:r>
      <w:r>
        <w:rPr>
          <w:bCs/>
          <w:iCs/>
        </w:rPr>
        <w:instrText xml:space="preserve"> REF _Ref267468488 \r \h  \* MERGEFORMAT </w:instrText>
      </w:r>
      <w:r>
        <w:fldChar w:fldCharType="separate"/>
      </w:r>
      <w:r>
        <w:rPr>
          <w:bCs/>
          <w:iCs/>
        </w:rPr>
        <w:t>6.3.2</w:t>
      </w:r>
      <w:r>
        <w:fldChar w:fldCharType="end"/>
      </w:r>
      <w:r>
        <w:rPr>
          <w:bCs/>
          <w:iCs/>
        </w:rPr>
        <w:t xml:space="preserve"> (</w:t>
      </w:r>
      <w:r>
        <w:rPr>
          <w:bCs/>
          <w:i/>
          <w:iCs/>
        </w:rPr>
        <w:t>Third Party Rights</w:t>
      </w:r>
      <w:r>
        <w:rPr>
          <w:bCs/>
          <w:iCs/>
        </w:rPr>
        <w:t>).</w:t>
      </w:r>
    </w:p>
    <w:p w14:paraId="4183B635" w14:textId="77777777" w:rsidR="004E73B7" w:rsidRDefault="008926D7">
      <w:pPr>
        <w:pStyle w:val="Level3"/>
        <w:numPr>
          <w:ilvl w:val="2"/>
          <w:numId w:val="13"/>
        </w:numPr>
        <w:spacing w:line="288" w:lineRule="auto"/>
        <w:rPr>
          <w:bCs/>
          <w:iCs/>
        </w:rPr>
      </w:pPr>
      <w:bookmarkStart w:id="49" w:name="_Ref267468488"/>
      <w:r>
        <w:rPr>
          <w:bCs/>
          <w:iCs/>
        </w:rPr>
        <w:t>Each Indemnified Person may enforce and rely on this Agreement to the same extent as if it were a Party.</w:t>
      </w:r>
      <w:bookmarkEnd w:id="49"/>
    </w:p>
    <w:p w14:paraId="74F1DEC0" w14:textId="77777777" w:rsidR="004E73B7" w:rsidRDefault="008926D7">
      <w:pPr>
        <w:pStyle w:val="Level3"/>
        <w:numPr>
          <w:ilvl w:val="2"/>
          <w:numId w:val="13"/>
        </w:numPr>
        <w:spacing w:line="288" w:lineRule="auto"/>
      </w:pPr>
      <w:r>
        <w:rPr>
          <w:bCs/>
          <w:iCs/>
        </w:rPr>
        <w:t xml:space="preserve">This Agreement may be </w:t>
      </w:r>
      <w:proofErr w:type="gramStart"/>
      <w:r>
        <w:rPr>
          <w:bCs/>
          <w:iCs/>
        </w:rPr>
        <w:t>terminated</w:t>
      </w:r>
      <w:proofErr w:type="gramEnd"/>
      <w:r>
        <w:rPr>
          <w:bCs/>
          <w:iCs/>
        </w:rPr>
        <w:t xml:space="preserve"> and any term may be amended or waived without the consent of any person described in Clause </w:t>
      </w:r>
      <w:r>
        <w:rPr>
          <w:bCs/>
          <w:iCs/>
        </w:rPr>
        <w:fldChar w:fldCharType="begin"/>
      </w:r>
      <w:r>
        <w:rPr>
          <w:bCs/>
          <w:iCs/>
        </w:rPr>
        <w:instrText xml:space="preserve"> REF _Ref267468488 \r \h  \* MERGEFORMAT </w:instrText>
      </w:r>
      <w:r>
        <w:rPr>
          <w:bCs/>
          <w:iCs/>
        </w:rPr>
      </w:r>
      <w:r>
        <w:rPr>
          <w:bCs/>
          <w:iCs/>
        </w:rPr>
        <w:fldChar w:fldCharType="separate"/>
      </w:r>
      <w:r>
        <w:rPr>
          <w:bCs/>
          <w:iCs/>
        </w:rPr>
        <w:t>6.3.2</w:t>
      </w:r>
      <w:r>
        <w:rPr>
          <w:bCs/>
          <w:iCs/>
        </w:rPr>
        <w:fldChar w:fldCharType="end"/>
      </w:r>
      <w:r>
        <w:rPr>
          <w:bCs/>
          <w:iCs/>
        </w:rPr>
        <w:t xml:space="preserve"> (</w:t>
      </w:r>
      <w:r>
        <w:rPr>
          <w:bCs/>
          <w:i/>
          <w:iCs/>
        </w:rPr>
        <w:t>Third Party Rights</w:t>
      </w:r>
      <w:r>
        <w:rPr>
          <w:bCs/>
          <w:iCs/>
        </w:rPr>
        <w:t>).</w:t>
      </w:r>
    </w:p>
    <w:p w14:paraId="7DFB613C" w14:textId="77777777" w:rsidR="004E73B7" w:rsidRDefault="008926D7">
      <w:pPr>
        <w:pStyle w:val="Level2"/>
        <w:numPr>
          <w:ilvl w:val="1"/>
          <w:numId w:val="10"/>
        </w:numPr>
        <w:rPr>
          <w:b/>
          <w:bCs/>
        </w:rPr>
      </w:pPr>
      <w:bookmarkStart w:id="50" w:name="_Ref266978324"/>
      <w:r>
        <w:rPr>
          <w:b/>
          <w:bCs/>
        </w:rPr>
        <w:t>Costs</w:t>
      </w:r>
    </w:p>
    <w:p w14:paraId="2FCE33CF" w14:textId="77777777" w:rsidR="004E73B7" w:rsidRDefault="008926D7">
      <w:pPr>
        <w:pStyle w:val="Body2"/>
      </w:pPr>
      <w:r>
        <w:t>Each Party must bear its own costs arising out of the negotiation, preparation and execution of this Agreement.</w:t>
      </w:r>
    </w:p>
    <w:p w14:paraId="14A64D2A" w14:textId="77777777" w:rsidR="004E73B7" w:rsidRDefault="008926D7">
      <w:pPr>
        <w:pStyle w:val="Level2"/>
        <w:numPr>
          <w:ilvl w:val="1"/>
          <w:numId w:val="10"/>
        </w:numPr>
        <w:rPr>
          <w:b/>
          <w:bCs/>
        </w:rPr>
      </w:pPr>
      <w:r>
        <w:rPr>
          <w:b/>
          <w:bCs/>
        </w:rPr>
        <w:t>Several Obligations</w:t>
      </w:r>
    </w:p>
    <w:p w14:paraId="4AEB0A3E" w14:textId="77777777" w:rsidR="004E73B7" w:rsidRDefault="008926D7">
      <w:pPr>
        <w:pStyle w:val="Body2"/>
        <w:rPr>
          <w:lang w:eastAsia="en-GB"/>
        </w:rPr>
      </w:pPr>
      <w:r>
        <w:rPr>
          <w:lang w:eastAsia="en-GB"/>
        </w:rPr>
        <w:lastRenderedPageBreak/>
        <w:t>No Party to this Agreement is responsible for the obligations of the other Party to this Agreement. The rights and obligations of each Party under or in connection with this Agreement are separate and independent.</w:t>
      </w:r>
    </w:p>
    <w:p w14:paraId="35F4B907" w14:textId="77777777" w:rsidR="004E73B7" w:rsidRDefault="008926D7">
      <w:pPr>
        <w:pStyle w:val="Level2"/>
        <w:numPr>
          <w:ilvl w:val="1"/>
          <w:numId w:val="10"/>
        </w:numPr>
        <w:rPr>
          <w:b/>
          <w:bCs/>
        </w:rPr>
      </w:pPr>
      <w:r>
        <w:rPr>
          <w:b/>
          <w:bCs/>
        </w:rPr>
        <w:t>Construction</w:t>
      </w:r>
    </w:p>
    <w:p w14:paraId="086B067B" w14:textId="77777777" w:rsidR="004E73B7" w:rsidRDefault="008926D7">
      <w:pPr>
        <w:pStyle w:val="Body2"/>
        <w:rPr>
          <w:lang w:eastAsia="en-GB"/>
        </w:rPr>
      </w:pPr>
      <w:r>
        <w:rPr>
          <w:lang w:eastAsia="en-GB"/>
        </w:rPr>
        <w:t>Except where the context requires otherwise, whenever used the singular includes the plural, the plural includes the singular, the use of any gender is applicable to all genders and the word “or” has the inclusive meaning represented by the phrase “and/or”. The headings of this Agreement are for convenience of reference only and do not define, describe, extend or limit the scope or intent of this Agreement or the scope or intent of any provision contained in this Agreement. The term “including” or “includes” as used in this Agreement means including, without limiting the generality of any description preceding such term. The wording of this Agreement shall be deemed to be the wording mutually chosen by the Parties and no rule of strict construction shall be applied against either Party.</w:t>
      </w:r>
    </w:p>
    <w:p w14:paraId="0CE4545C" w14:textId="77777777" w:rsidR="004E73B7" w:rsidRDefault="008926D7">
      <w:pPr>
        <w:pStyle w:val="Level2"/>
        <w:numPr>
          <w:ilvl w:val="1"/>
          <w:numId w:val="10"/>
        </w:numPr>
        <w:rPr>
          <w:b/>
          <w:bCs/>
        </w:rPr>
      </w:pPr>
      <w:r>
        <w:rPr>
          <w:b/>
          <w:bCs/>
        </w:rPr>
        <w:t>Amendment</w:t>
      </w:r>
    </w:p>
    <w:p w14:paraId="2E84FF53" w14:textId="77777777" w:rsidR="004E73B7" w:rsidRDefault="008926D7">
      <w:pPr>
        <w:pStyle w:val="Body2"/>
        <w:rPr>
          <w:lang w:eastAsia="en-GB"/>
        </w:rPr>
      </w:pPr>
      <w:r>
        <w:rPr>
          <w:lang w:eastAsia="en-GB"/>
        </w:rPr>
        <w:t>No variation of this Agreement shall be valid unless it is in writing and signed by or on behalf of each of the Parties to it.</w:t>
      </w:r>
    </w:p>
    <w:p w14:paraId="3F43EBF1" w14:textId="77777777" w:rsidR="004E73B7" w:rsidRDefault="008926D7">
      <w:pPr>
        <w:pStyle w:val="Level2"/>
        <w:numPr>
          <w:ilvl w:val="1"/>
          <w:numId w:val="10"/>
        </w:numPr>
        <w:rPr>
          <w:b/>
          <w:bCs/>
        </w:rPr>
      </w:pPr>
      <w:r>
        <w:rPr>
          <w:b/>
          <w:bCs/>
        </w:rPr>
        <w:t>Counterparts</w:t>
      </w:r>
    </w:p>
    <w:p w14:paraId="2BBF5FC2" w14:textId="77777777" w:rsidR="004E73B7" w:rsidRDefault="008926D7">
      <w:pPr>
        <w:pStyle w:val="Body2"/>
        <w:rPr>
          <w:lang w:eastAsia="en-GB"/>
        </w:rPr>
      </w:pPr>
      <w:r>
        <w:rPr>
          <w:lang w:eastAsia="en-GB"/>
        </w:rPr>
        <w:t>This Agreement may be executed in any number of counterparts, each of which shall be deemed an original and all of which taken together shall be deemed to constitute one and the same agreement. The Parties agree that execution of this Agreement by industry standard electronic signature software and/or by exchanging executed signature pages in .pdf format via email shall have the same legal force and effect as the exchange of original signatures, and that in any proceeding arising under or related to this Agreement, each Party hereby waives any right to raise any defence or waiver based upon execution of this Agreement by means of such electronic signatures or maintenance of the executed agreement electronically.</w:t>
      </w:r>
    </w:p>
    <w:p w14:paraId="67C95BD5" w14:textId="77777777" w:rsidR="004E73B7" w:rsidRDefault="008926D7">
      <w:pPr>
        <w:pStyle w:val="Level2"/>
        <w:numPr>
          <w:ilvl w:val="1"/>
          <w:numId w:val="10"/>
        </w:numPr>
        <w:rPr>
          <w:b/>
          <w:bCs/>
        </w:rPr>
      </w:pPr>
      <w:bookmarkStart w:id="51" w:name="_Ref58862200"/>
      <w:r>
        <w:rPr>
          <w:b/>
          <w:bCs/>
        </w:rPr>
        <w:t>Notice</w:t>
      </w:r>
      <w:bookmarkEnd w:id="51"/>
    </w:p>
    <w:p w14:paraId="32D4E9B9" w14:textId="77777777" w:rsidR="004E73B7" w:rsidRDefault="008926D7">
      <w:pPr>
        <w:pStyle w:val="Body2"/>
      </w:pPr>
      <w:r>
        <w:t xml:space="preserve">Any notice, request, or other communication permitted or required under this Agreement shall be in writing, shall refer specifically to this Agreement and shall be deemed given only if hand delivered or sent by an internationally recognized overnight delivery service, costs prepaid, addressed to the applicable Party at its address first set forth above (or to such other address as the Party to whom notice is to be given may have provided to the other Party in accordance with this Clause </w:t>
      </w:r>
      <w:r>
        <w:fldChar w:fldCharType="begin"/>
      </w:r>
      <w:r>
        <w:instrText xml:space="preserve"> REF _Ref58862200 \r \h </w:instrText>
      </w:r>
      <w:r>
        <w:fldChar w:fldCharType="separate"/>
      </w:r>
      <w:r>
        <w:t>6.9</w:t>
      </w:r>
      <w:r>
        <w:fldChar w:fldCharType="end"/>
      </w:r>
      <w:r>
        <w:t>), and sent to the attention of [</w:t>
      </w:r>
      <w:r>
        <w:rPr>
          <w:rFonts w:cs="Arial"/>
          <w:highlight w:val="yellow"/>
        </w:rPr>
        <w:t>●</w:t>
      </w:r>
      <w:r>
        <w:t>] (with respect to Manufacturer), or to [</w:t>
      </w:r>
      <w:r>
        <w:rPr>
          <w:rFonts w:cs="Arial"/>
          <w:highlight w:val="yellow"/>
        </w:rPr>
        <w:t>●</w:t>
      </w:r>
      <w:r>
        <w:t>] (with respect to COVAX Participant). A copy of the communication shall also be emailed to Manufacturer at [</w:t>
      </w:r>
      <w:r>
        <w:rPr>
          <w:rFonts w:cs="Arial"/>
          <w:highlight w:val="yellow"/>
        </w:rPr>
        <w:t>●</w:t>
      </w:r>
      <w:r>
        <w:t>], or to COVAX Participant at [</w:t>
      </w:r>
      <w:r>
        <w:rPr>
          <w:rFonts w:cs="Arial"/>
          <w:highlight w:val="yellow"/>
        </w:rPr>
        <w:t>●</w:t>
      </w:r>
      <w:r>
        <w:t>]. Such notice shall be deemed to have been given as of the date delivered by hand, or on the fourth calendar day (at the place of delivery) after deposit with an internationally recognized overnight delivery service, whichever is the earlier.</w:t>
      </w:r>
    </w:p>
    <w:p w14:paraId="2D1734E7" w14:textId="77777777" w:rsidR="004E73B7" w:rsidRDefault="008926D7">
      <w:pPr>
        <w:pStyle w:val="Level2"/>
        <w:numPr>
          <w:ilvl w:val="1"/>
          <w:numId w:val="10"/>
        </w:numPr>
        <w:rPr>
          <w:b/>
          <w:bCs/>
        </w:rPr>
      </w:pPr>
      <w:r>
        <w:rPr>
          <w:b/>
          <w:bCs/>
        </w:rPr>
        <w:t>Invalidity</w:t>
      </w:r>
    </w:p>
    <w:p w14:paraId="6E553B76" w14:textId="77777777" w:rsidR="004E73B7" w:rsidRDefault="008926D7">
      <w:pPr>
        <w:pStyle w:val="Level3"/>
        <w:numPr>
          <w:ilvl w:val="2"/>
          <w:numId w:val="10"/>
        </w:numPr>
      </w:pPr>
      <w:bookmarkStart w:id="52" w:name="_Ref58862220"/>
      <w:r>
        <w:t>If any provision in this Agreement shall be held to be illegal, invalid or unenforceable, in whole or in part, the provision shall apply with whatever deletion or modification is necessary so that the provision is legal, valid and enforceable and gives effect to the commercial intention of the Parties.</w:t>
      </w:r>
      <w:bookmarkEnd w:id="52"/>
    </w:p>
    <w:p w14:paraId="56D70AE3" w14:textId="77777777" w:rsidR="004E73B7" w:rsidRDefault="008926D7">
      <w:pPr>
        <w:pStyle w:val="Level3"/>
        <w:numPr>
          <w:ilvl w:val="2"/>
          <w:numId w:val="10"/>
        </w:numPr>
      </w:pPr>
      <w:r>
        <w:t xml:space="preserve">To the extent it is not possible to delete or modify the provision, in whole or in part, under Clause </w:t>
      </w:r>
      <w:r>
        <w:fldChar w:fldCharType="begin"/>
      </w:r>
      <w:r>
        <w:instrText xml:space="preserve"> REF _Ref58862220 \r \h </w:instrText>
      </w:r>
      <w:r>
        <w:fldChar w:fldCharType="separate"/>
      </w:r>
      <w:r>
        <w:t>6.10.1</w:t>
      </w:r>
      <w:r>
        <w:fldChar w:fldCharType="end"/>
      </w:r>
      <w:r>
        <w:t xml:space="preserve"> (</w:t>
      </w:r>
      <w:r>
        <w:rPr>
          <w:i/>
        </w:rPr>
        <w:t>Invalidity</w:t>
      </w:r>
      <w:r>
        <w:t xml:space="preserve">) then such provision or part of it shall, to the extent that it is </w:t>
      </w:r>
      <w:r>
        <w:lastRenderedPageBreak/>
        <w:t xml:space="preserve">illegal, invalid or unenforceable, be deemed not to form part of this Agreement and the legality, validity and enforceability of the remainder of this Agreement shall, subject to any deletion or modification made under Clause </w:t>
      </w:r>
      <w:r>
        <w:fldChar w:fldCharType="begin"/>
      </w:r>
      <w:r>
        <w:instrText xml:space="preserve"> REF _Ref58862220 \r \h </w:instrText>
      </w:r>
      <w:r>
        <w:fldChar w:fldCharType="separate"/>
      </w:r>
      <w:r>
        <w:t>6.10.1</w:t>
      </w:r>
      <w:r>
        <w:fldChar w:fldCharType="end"/>
      </w:r>
      <w:r>
        <w:t xml:space="preserve"> (</w:t>
      </w:r>
      <w:r>
        <w:rPr>
          <w:i/>
        </w:rPr>
        <w:t>Invalidity</w:t>
      </w:r>
      <w:r>
        <w:t>), not be affected.</w:t>
      </w:r>
    </w:p>
    <w:p w14:paraId="12C98B65" w14:textId="77777777" w:rsidR="004E73B7" w:rsidRDefault="008926D7">
      <w:pPr>
        <w:pStyle w:val="Level2"/>
        <w:numPr>
          <w:ilvl w:val="1"/>
          <w:numId w:val="10"/>
        </w:numPr>
        <w:rPr>
          <w:b/>
          <w:bCs/>
        </w:rPr>
      </w:pPr>
      <w:r>
        <w:rPr>
          <w:b/>
          <w:bCs/>
        </w:rPr>
        <w:t>Waiver</w:t>
      </w:r>
    </w:p>
    <w:p w14:paraId="58F56EDE" w14:textId="77777777" w:rsidR="004E73B7" w:rsidRDefault="008926D7">
      <w:pPr>
        <w:pStyle w:val="Body2"/>
        <w:rPr>
          <w:lang w:eastAsia="en-GB"/>
        </w:rPr>
      </w:pPr>
      <w:r>
        <w:rPr>
          <w:lang w:eastAsia="en-GB"/>
        </w:rPr>
        <w:t xml:space="preserve">A Party’s failure to enforce, at any time or for any </w:t>
      </w:r>
      <w:proofErr w:type="gramStart"/>
      <w:r>
        <w:rPr>
          <w:lang w:eastAsia="en-GB"/>
        </w:rPr>
        <w:t>period of time</w:t>
      </w:r>
      <w:proofErr w:type="gramEnd"/>
      <w:r>
        <w:rPr>
          <w:lang w:eastAsia="en-GB"/>
        </w:rPr>
        <w:t>, any provision of this Agreement, or to exercise any right or remedy shall not constitute a waiver of that provision, right or remedy or prevent such Party from enforcing any or all provisions of this Agreement and exercising any rights or remedies. To be effective any waiver must be in writing. The rights and remedies provided herein are cumulative and do not exclude any other right or remedy provided by law or otherwise available except as expressly set forth herein.</w:t>
      </w:r>
    </w:p>
    <w:p w14:paraId="5AAB17EF" w14:textId="77777777" w:rsidR="004E73B7" w:rsidRDefault="008926D7">
      <w:pPr>
        <w:pStyle w:val="Level2"/>
        <w:numPr>
          <w:ilvl w:val="1"/>
          <w:numId w:val="10"/>
        </w:numPr>
        <w:rPr>
          <w:b/>
          <w:bCs/>
        </w:rPr>
      </w:pPr>
      <w:bookmarkStart w:id="53" w:name="_Ref57151064"/>
      <w:r>
        <w:rPr>
          <w:b/>
          <w:bCs/>
        </w:rPr>
        <w:t>Governing Law and Submission to Jurisdiction</w:t>
      </w:r>
      <w:bookmarkEnd w:id="50"/>
      <w:bookmarkEnd w:id="53"/>
    </w:p>
    <w:p w14:paraId="70C20B21" w14:textId="77777777" w:rsidR="004E73B7" w:rsidRDefault="008926D7">
      <w:pPr>
        <w:pStyle w:val="Level3"/>
        <w:numPr>
          <w:ilvl w:val="2"/>
          <w:numId w:val="10"/>
        </w:numPr>
      </w:pPr>
      <w:r>
        <w:t>This Agreement and any non-contractual obligations arising out of or in connection with it shall be governed by English law.</w:t>
      </w:r>
    </w:p>
    <w:p w14:paraId="5F31F2FD" w14:textId="77777777" w:rsidR="004E73B7" w:rsidRDefault="008926D7">
      <w:pPr>
        <w:pStyle w:val="Level3"/>
        <w:numPr>
          <w:ilvl w:val="2"/>
          <w:numId w:val="10"/>
        </w:numPr>
      </w:pPr>
      <w:r>
        <w:t xml:space="preserve">All disputes arising out of or in connection with this Agreement, including disputes as to its conclusion, validity, existence, binding effect and amendment, including a dispute as to the validity and existence of this Clause </w:t>
      </w:r>
      <w:r>
        <w:fldChar w:fldCharType="begin"/>
      </w:r>
      <w:r>
        <w:instrText xml:space="preserve"> REF _Ref57151064 \r \h </w:instrText>
      </w:r>
      <w:r>
        <w:fldChar w:fldCharType="separate"/>
      </w:r>
      <w:r>
        <w:t>6.12</w:t>
      </w:r>
      <w:r>
        <w:fldChar w:fldCharType="end"/>
      </w:r>
      <w:r>
        <w:t>, shall be resolved by confidential arbitration, in accordance with the Rules of Arbitration of the International Chamber of Commerce. The number of arbitrators shall be three, one appointed by or on behalf of each Party and the third arbitrator, who shall act as president of the tribunal, shall be appointed by the two arbitrators appointed by or on behalf of the Parties. If the third arbitrator is not chosen and nominated to the International Court of Arbitration of the ICC for appointment within 30 days of the date of confirmation of the later of the two party-appointed arbitrators to be confirmed by the International Court of Arbitration of the ICC, he/she shall be chosen by the International Court of Arbitration of the ICC. No arbitrator shall be of the same nationality as any party. The tribunal shall draw up, and submit to the parties for signature, the terms of reference within 21 days of receiving the file. The terms of reference shall not include a list of issues to be determined. The seat (or legal place) shall be in Geneva. The language of the arbitration shall be English. The parties agree to be bound by any award made by the tribunal. The parties waive their right to any form of appeal,</w:t>
      </w:r>
      <w:r>
        <w:rPr>
          <w:rFonts w:cs="Arial"/>
          <w:szCs w:val="20"/>
          <w:shd w:val="clear" w:color="auto" w:fill="FFFFFF"/>
        </w:rPr>
        <w:t xml:space="preserve"> review or recourse to any state court or other legal authority, insofar as such waiver shall not be prohibited under any applicable law</w:t>
      </w:r>
      <w:r>
        <w:t>.</w:t>
      </w:r>
    </w:p>
    <w:p w14:paraId="1A43B372" w14:textId="77777777" w:rsidR="004E73B7" w:rsidRDefault="008926D7">
      <w:pPr>
        <w:pStyle w:val="Level2"/>
        <w:numPr>
          <w:ilvl w:val="1"/>
          <w:numId w:val="10"/>
        </w:numPr>
        <w:rPr>
          <w:b/>
          <w:bCs/>
        </w:rPr>
      </w:pPr>
      <w:r>
        <w:rPr>
          <w:b/>
          <w:bCs/>
        </w:rPr>
        <w:t>Sovereign immunity waiver</w:t>
      </w:r>
    </w:p>
    <w:p w14:paraId="3247E698" w14:textId="77777777" w:rsidR="004E73B7" w:rsidRDefault="008926D7">
      <w:pPr>
        <w:pStyle w:val="Body2"/>
        <w:rPr>
          <w:lang w:eastAsia="en-GB"/>
        </w:rPr>
      </w:pPr>
      <w:r>
        <w:rPr>
          <w:lang w:eastAsia="en-GB"/>
        </w:rPr>
        <w:t>The COVAX Participant hereby expressly, unconditionally and irrevocably waives, to the fullest extent possible, in respect of itself and its assets, any right of immunity (including, without limitation, any immunity from service, jurisdiction, attachment or execution) under the laws of any jurisdiction on the grounds of sovereignty or otherwise which may now or hereafter exist, and agrees not to assert any such right or claim in any legal action or proceeding, wherever such action or proceeding occurs. This waiver includes waiving any right of sovereign immunity as to the COVAX Participant and any of its property, whether commercial or non-commercial, including any bank account belonging to the COVAX Participant.</w:t>
      </w:r>
    </w:p>
    <w:p w14:paraId="0B662851" w14:textId="77777777" w:rsidR="004E73B7" w:rsidRDefault="008926D7">
      <w:pPr>
        <w:pStyle w:val="Level2"/>
        <w:numPr>
          <w:ilvl w:val="1"/>
          <w:numId w:val="10"/>
        </w:numPr>
        <w:rPr>
          <w:b/>
          <w:bCs/>
        </w:rPr>
      </w:pPr>
      <w:r>
        <w:rPr>
          <w:b/>
          <w:bCs/>
        </w:rPr>
        <w:t>Language</w:t>
      </w:r>
    </w:p>
    <w:p w14:paraId="69256FC2" w14:textId="77777777" w:rsidR="004E73B7" w:rsidRDefault="008926D7">
      <w:pPr>
        <w:pStyle w:val="Body2"/>
        <w:rPr>
          <w:lang w:eastAsia="en-GB"/>
        </w:rPr>
      </w:pPr>
      <w:r>
        <w:rPr>
          <w:lang w:eastAsia="en-GB"/>
        </w:rPr>
        <w:t xml:space="preserve">This Agreement is entered into in the English language. Where this Agreement is translated into an additional language, any translated version shall not create any duplication of the rights and obligations of the Parties and the Parties acknowledge that the English version of this </w:t>
      </w:r>
      <w:r>
        <w:rPr>
          <w:lang w:eastAsia="en-GB"/>
        </w:rPr>
        <w:lastRenderedPageBreak/>
        <w:t>Agreement binds the Parties. In the event of any inconsistency or difference in interpretation between any translated version and the English version, the English version shall prevail.</w:t>
      </w:r>
    </w:p>
    <w:p w14:paraId="5C3D587D" w14:textId="77777777" w:rsidR="004E73B7" w:rsidRDefault="004E73B7">
      <w:pPr>
        <w:rPr>
          <w:b/>
          <w:bCs/>
        </w:rPr>
      </w:pPr>
    </w:p>
    <w:p w14:paraId="3878ACA5" w14:textId="77777777" w:rsidR="004E73B7" w:rsidRDefault="004E73B7">
      <w:pPr>
        <w:rPr>
          <w:b/>
          <w:bCs/>
        </w:rPr>
      </w:pPr>
    </w:p>
    <w:p w14:paraId="08840BBD" w14:textId="77777777" w:rsidR="004E73B7" w:rsidRDefault="004E73B7">
      <w:pPr>
        <w:rPr>
          <w:b/>
          <w:bCs/>
        </w:rPr>
      </w:pPr>
    </w:p>
    <w:p w14:paraId="4CC30450" w14:textId="77777777" w:rsidR="004E73B7" w:rsidRDefault="008926D7">
      <w:r>
        <w:rPr>
          <w:b/>
          <w:bCs/>
        </w:rPr>
        <w:t>In witness</w:t>
      </w:r>
      <w:r>
        <w:t xml:space="preserve"> whereof this Agreement has been duly executed</w:t>
      </w:r>
      <w:r>
        <w:rPr>
          <w:rStyle w:val="FootnoteReference"/>
        </w:rPr>
        <w:footnoteReference w:id="3"/>
      </w:r>
      <w:r>
        <w:t>.</w:t>
      </w:r>
    </w:p>
    <w:p w14:paraId="708942CE" w14:textId="77777777" w:rsidR="004E73B7" w:rsidRDefault="004E73B7"/>
    <w:tbl>
      <w:tblPr>
        <w:tblW w:w="9297" w:type="dxa"/>
        <w:tblLayout w:type="fixed"/>
        <w:tblLook w:val="0000" w:firstRow="0" w:lastRow="0" w:firstColumn="0" w:lastColumn="0" w:noHBand="0" w:noVBand="0"/>
      </w:tblPr>
      <w:tblGrid>
        <w:gridCol w:w="5070"/>
        <w:gridCol w:w="1128"/>
        <w:gridCol w:w="3099"/>
      </w:tblGrid>
      <w:tr w:rsidR="004E73B7" w14:paraId="40DF37EB" w14:textId="77777777">
        <w:tc>
          <w:tcPr>
            <w:tcW w:w="5070" w:type="dxa"/>
          </w:tcPr>
          <w:p w14:paraId="5CD4DF8E" w14:textId="77777777" w:rsidR="004E73B7" w:rsidRDefault="008926D7">
            <w:pPr>
              <w:pStyle w:val="CellBody"/>
              <w:spacing w:before="0" w:after="0"/>
            </w:pPr>
            <w:r>
              <w:rPr>
                <w:b/>
                <w:bCs/>
              </w:rPr>
              <w:t>SIGNED</w:t>
            </w:r>
            <w:r>
              <w:t xml:space="preserve"> for and on behalf of</w:t>
            </w:r>
          </w:p>
          <w:p w14:paraId="6D913B33" w14:textId="77777777" w:rsidR="004E73B7" w:rsidRDefault="004E73B7">
            <w:pPr>
              <w:pStyle w:val="CellBody"/>
              <w:spacing w:before="0" w:after="0"/>
            </w:pPr>
          </w:p>
          <w:p w14:paraId="779913F4" w14:textId="77777777" w:rsidR="004E73B7" w:rsidRDefault="004E73B7">
            <w:pPr>
              <w:pStyle w:val="CellBody"/>
              <w:spacing w:before="0" w:after="0"/>
            </w:pPr>
          </w:p>
          <w:p w14:paraId="469F5E5E" w14:textId="77777777" w:rsidR="004E73B7" w:rsidRDefault="008926D7">
            <w:pPr>
              <w:pStyle w:val="CellBody"/>
              <w:spacing w:before="0" w:after="0"/>
            </w:pPr>
            <w:r>
              <w:rPr>
                <w:b/>
                <w:bCs/>
                <w:lang w:eastAsia="en-GB"/>
              </w:rPr>
              <w:t>[</w:t>
            </w:r>
            <w:r>
              <w:rPr>
                <w:b/>
                <w:bCs/>
                <w:highlight w:val="yellow"/>
                <w:lang w:eastAsia="en-GB"/>
              </w:rPr>
              <w:t>MANUFACTURER]</w:t>
            </w:r>
            <w:r>
              <w:t xml:space="preserve"> by:</w:t>
            </w:r>
          </w:p>
        </w:tc>
        <w:tc>
          <w:tcPr>
            <w:tcW w:w="1128" w:type="dxa"/>
          </w:tcPr>
          <w:p w14:paraId="6AF4172F" w14:textId="77777777" w:rsidR="004E73B7" w:rsidRDefault="008926D7">
            <w:pPr>
              <w:pStyle w:val="CellBody"/>
              <w:spacing w:before="0" w:after="0"/>
            </w:pPr>
            <w:r>
              <w:rPr>
                <w:b/>
                <w:bCs/>
                <w:noProof/>
                <w:lang w:eastAsia="en-GB"/>
              </w:rPr>
              <mc:AlternateContent>
                <mc:Choice Requires="wps">
                  <w:drawing>
                    <wp:anchor distT="0" distB="0" distL="114300" distR="114300" simplePos="0" relativeHeight="251659264" behindDoc="0" locked="0" layoutInCell="1" allowOverlap="1" wp14:anchorId="4F140BC5" wp14:editId="4F146287">
                      <wp:simplePos x="0" y="0"/>
                      <wp:positionH relativeFrom="column">
                        <wp:posOffset>29845</wp:posOffset>
                      </wp:positionH>
                      <wp:positionV relativeFrom="paragraph">
                        <wp:posOffset>57150</wp:posOffset>
                      </wp:positionV>
                      <wp:extent cx="107950" cy="575945"/>
                      <wp:effectExtent l="0" t="0" r="25400" b="14605"/>
                      <wp:wrapNone/>
                      <wp:docPr id="14" name="AutoShape 2"/>
                      <wp:cNvGraphicFramePr/>
                      <a:graphic xmlns:a="http://schemas.openxmlformats.org/drawingml/2006/main">
                        <a:graphicData uri="http://schemas.microsoft.com/office/word/2010/wordprocessingShape">
                          <wps:wsp>
                            <wps:cNvSpPr/>
                            <wps:spPr bwMode="auto">
                              <a:xfrm>
                                <a:off x="0" y="0"/>
                                <a:ext cx="107950" cy="575945"/>
                              </a:xfrm>
                              <a:prstGeom prst="rightBrace">
                                <a:avLst>
                                  <a:gd name="adj1" fmla="val 44461"/>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727D99" w14:textId="77777777" w:rsidR="004E73B7" w:rsidRDefault="004E73B7">
                                  <w:pPr>
                                    <w:jc w:val="center"/>
                                  </w:pPr>
                                </w:p>
                              </w:txbxContent>
                            </wps:txbx>
                            <wps:bodyPr rot="0" vert="horz" wrap="square" anchor="t" anchorCtr="0" upright="1"/>
                          </wps:wsp>
                        </a:graphicData>
                      </a:graphic>
                    </wp:anchor>
                  </w:drawing>
                </mc:Choice>
                <mc:Fallback>
                  <w:pict>
                    <v:shapetype w14:anchorId="4F140BC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2.35pt;margin-top:4.5pt;width:8.5pt;height:4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" strokeweight="2pt">
                      <v:textbox>
                        <w:txbxContent>
                          <w:p w14:paraId="05727D99" w14:textId="77777777" w:rsidR="004E73B7" w:rsidRDefault="004E73B7">
                            <w:pPr>
                              <w:jc w:val="center"/>
                            </w:pPr>
                          </w:p>
                        </w:txbxContent>
                      </v:textbox>
                    </v:shape>
                  </w:pict>
                </mc:Fallback>
              </mc:AlternateContent>
            </w:r>
          </w:p>
        </w:tc>
        <w:tc>
          <w:tcPr>
            <w:tcW w:w="3099" w:type="dxa"/>
          </w:tcPr>
          <w:p w14:paraId="312A5A84" w14:textId="77777777" w:rsidR="004E73B7" w:rsidRDefault="004E73B7">
            <w:pPr>
              <w:pStyle w:val="CellBody"/>
              <w:spacing w:before="0" w:after="0"/>
            </w:pPr>
          </w:p>
        </w:tc>
      </w:tr>
    </w:tbl>
    <w:p w14:paraId="4E711487" w14:textId="77777777" w:rsidR="004E73B7" w:rsidRDefault="004E73B7">
      <w:pPr>
        <w:pStyle w:val="Body"/>
      </w:pPr>
    </w:p>
    <w:p w14:paraId="632D56EF" w14:textId="77777777" w:rsidR="004E73B7" w:rsidRDefault="004E73B7">
      <w:pPr>
        <w:pStyle w:val="Body"/>
      </w:pPr>
    </w:p>
    <w:tbl>
      <w:tblPr>
        <w:tblW w:w="9297" w:type="dxa"/>
        <w:tblLayout w:type="fixed"/>
        <w:tblLook w:val="0000" w:firstRow="0" w:lastRow="0" w:firstColumn="0" w:lastColumn="0" w:noHBand="0" w:noVBand="0"/>
      </w:tblPr>
      <w:tblGrid>
        <w:gridCol w:w="5070"/>
        <w:gridCol w:w="1128"/>
        <w:gridCol w:w="3099"/>
      </w:tblGrid>
      <w:tr w:rsidR="004E73B7" w14:paraId="7E7EA604" w14:textId="77777777">
        <w:tc>
          <w:tcPr>
            <w:tcW w:w="5070" w:type="dxa"/>
          </w:tcPr>
          <w:p w14:paraId="5D6CEB22" w14:textId="77777777" w:rsidR="004E73B7" w:rsidRDefault="008926D7">
            <w:pPr>
              <w:pStyle w:val="CellBody"/>
              <w:spacing w:before="0" w:after="0"/>
            </w:pPr>
            <w:r>
              <w:rPr>
                <w:b/>
                <w:bCs/>
              </w:rPr>
              <w:t>SIGNED</w:t>
            </w:r>
            <w:r>
              <w:t xml:space="preserve"> for and on behalf of</w:t>
            </w:r>
          </w:p>
          <w:p w14:paraId="36856F2A" w14:textId="77777777" w:rsidR="004E73B7" w:rsidRDefault="004E73B7">
            <w:pPr>
              <w:pStyle w:val="CellBody"/>
              <w:spacing w:before="0" w:after="0"/>
            </w:pPr>
          </w:p>
          <w:p w14:paraId="380662BE" w14:textId="77777777" w:rsidR="004E73B7" w:rsidRDefault="004E73B7">
            <w:pPr>
              <w:pStyle w:val="CellBody"/>
              <w:spacing w:before="0" w:after="0"/>
            </w:pPr>
          </w:p>
          <w:p w14:paraId="6806ED9C" w14:textId="77777777" w:rsidR="004E73B7" w:rsidRDefault="008926D7">
            <w:pPr>
              <w:pStyle w:val="CellBody"/>
              <w:spacing w:before="0" w:after="0"/>
            </w:pPr>
            <w:r>
              <w:rPr>
                <w:b/>
                <w:bCs/>
                <w:highlight w:val="yellow"/>
              </w:rPr>
              <w:t>[COVAX PARTICIPANT]</w:t>
            </w:r>
            <w:r>
              <w:t xml:space="preserve"> by:</w:t>
            </w:r>
          </w:p>
        </w:tc>
        <w:tc>
          <w:tcPr>
            <w:tcW w:w="1128" w:type="dxa"/>
          </w:tcPr>
          <w:p w14:paraId="6CD66AA9" w14:textId="77777777" w:rsidR="004E73B7" w:rsidRDefault="008926D7">
            <w:pPr>
              <w:pStyle w:val="CellBody"/>
              <w:spacing w:before="0" w:after="0"/>
            </w:pPr>
            <w:r>
              <w:rPr>
                <w:noProof/>
                <w:lang w:eastAsia="en-GB"/>
              </w:rPr>
              <mc:AlternateContent>
                <mc:Choice Requires="wps">
                  <w:drawing>
                    <wp:anchor distT="0" distB="0" distL="114300" distR="114300" simplePos="0" relativeHeight="251660288" behindDoc="0" locked="0" layoutInCell="1" allowOverlap="1" wp14:anchorId="5C14A657" wp14:editId="1F3E3485">
                      <wp:simplePos x="0" y="0"/>
                      <wp:positionH relativeFrom="column">
                        <wp:posOffset>49530</wp:posOffset>
                      </wp:positionH>
                      <wp:positionV relativeFrom="paragraph">
                        <wp:posOffset>635</wp:posOffset>
                      </wp:positionV>
                      <wp:extent cx="107950" cy="575945"/>
                      <wp:effectExtent l="0" t="0" r="25400" b="14605"/>
                      <wp:wrapNone/>
                      <wp:docPr id="15" name="AutoShape 5"/>
                      <wp:cNvGraphicFramePr/>
                      <a:graphic xmlns:a="http://schemas.openxmlformats.org/drawingml/2006/main">
                        <a:graphicData uri="http://schemas.microsoft.com/office/word/2010/wordprocessingShape">
                          <wps:wsp>
                            <wps:cNvSpPr/>
                            <wps:spPr bwMode="auto">
                              <a:xfrm>
                                <a:off x="0" y="0"/>
                                <a:ext cx="107950" cy="575945"/>
                              </a:xfrm>
                              <a:prstGeom prst="rightBrace">
                                <a:avLst>
                                  <a:gd name="adj1" fmla="val 44461"/>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F2B091B" w14:textId="77777777" w:rsidR="004E73B7" w:rsidRDefault="004E73B7">
                                  <w:pPr>
                                    <w:jc w:val="center"/>
                                  </w:pPr>
                                </w:p>
                              </w:txbxContent>
                            </wps:txbx>
                            <wps:bodyPr rot="0" vert="horz" wrap="square" anchor="t" anchorCtr="0" upright="1"/>
                          </wps:wsp>
                        </a:graphicData>
                      </a:graphic>
                    </wp:anchor>
                  </w:drawing>
                </mc:Choice>
                <mc:Fallback>
                  <w:pict>
                    <v:shape w14:anchorId="5C14A657" id="AutoShape 5" o:spid="_x0000_s1027" type="#_x0000_t88" style="position:absolute;margin-left:3.9pt;margin-top:.05pt;width:8.5pt;height:45.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" strokeweight="2pt">
                      <v:textbox>
                        <w:txbxContent>
                          <w:p w14:paraId="4F2B091B" w14:textId="77777777" w:rsidR="004E73B7" w:rsidRDefault="004E73B7">
                            <w:pPr>
                              <w:jc w:val="center"/>
                            </w:pPr>
                          </w:p>
                        </w:txbxContent>
                      </v:textbox>
                    </v:shape>
                  </w:pict>
                </mc:Fallback>
              </mc:AlternateContent>
            </w:r>
          </w:p>
        </w:tc>
        <w:tc>
          <w:tcPr>
            <w:tcW w:w="3099" w:type="dxa"/>
          </w:tcPr>
          <w:p w14:paraId="78C6D24C" w14:textId="77777777" w:rsidR="004E73B7" w:rsidRDefault="004E73B7">
            <w:pPr>
              <w:pStyle w:val="CellBody"/>
              <w:spacing w:before="0" w:after="0"/>
            </w:pPr>
          </w:p>
        </w:tc>
      </w:tr>
    </w:tbl>
    <w:p w14:paraId="5BB3E3C2" w14:textId="77777777" w:rsidR="004E73B7" w:rsidRDefault="004E73B7">
      <w:pPr>
        <w:pStyle w:val="Body"/>
        <w:rPr>
          <w:szCs w:val="20"/>
        </w:rPr>
      </w:pPr>
    </w:p>
    <w:p w14:paraId="1F357081" w14:textId="77777777" w:rsidR="004E73B7" w:rsidRDefault="004E73B7">
      <w:pPr>
        <w:pStyle w:val="Body"/>
      </w:pPr>
    </w:p>
    <w:p w14:paraId="6029D556" w14:textId="77777777" w:rsidR="004E73B7" w:rsidRDefault="004E73B7">
      <w:pPr>
        <w:pStyle w:val="Body"/>
      </w:pPr>
    </w:p>
    <w:p w14:paraId="3FEA213B" w14:textId="77777777" w:rsidR="004E73B7" w:rsidRDefault="004E73B7">
      <w:pPr>
        <w:pStyle w:val="dashbullet1"/>
        <w:numPr>
          <w:ilvl w:val="0"/>
          <w:numId w:val="0"/>
        </w:numPr>
        <w:ind w:left="680" w:hanging="680"/>
      </w:pPr>
    </w:p>
    <w:bookmarkEnd w:id="0"/>
    <w:p w14:paraId="140997DF" w14:textId="77777777" w:rsidR="004E73B7" w:rsidRDefault="004E73B7"/>
    <w:sectPr w:rsidR="004E73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24468" w14:textId="77777777" w:rsidR="00772B4F" w:rsidRDefault="00772B4F">
      <w:r>
        <w:separator/>
      </w:r>
    </w:p>
  </w:endnote>
  <w:endnote w:type="continuationSeparator" w:id="0">
    <w:p w14:paraId="3DF98B0C" w14:textId="77777777" w:rsidR="00772B4F" w:rsidRDefault="0077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B678D" w14:textId="77777777" w:rsidR="004E73B7" w:rsidRDefault="004E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A5E0" w14:textId="77777777" w:rsidR="004E73B7" w:rsidRDefault="008926D7">
    <w:pPr>
      <w:pStyle w:val="DocExCode"/>
      <w:jc w:val="center"/>
      <w:rPr>
        <w:rStyle w:val="PageNumber"/>
        <w:kern w:val="17"/>
      </w:rPr>
    </w:pP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kern w:val="17"/>
      </w:rPr>
      <w:t>1</w:t>
    </w:r>
    <w:r>
      <w:rPr>
        <w:rStyle w:val="PageNumber"/>
        <w:kern w:val="17"/>
      </w:rPr>
      <w:fldChar w:fldCharType="end"/>
    </w:r>
  </w:p>
  <w:p w14:paraId="0C7B41C5" w14:textId="77777777" w:rsidR="004E73B7" w:rsidRDefault="004E73B7">
    <w:pPr>
      <w:pStyle w:val="DocExCode"/>
    </w:pPr>
  </w:p>
  <w:p w14:paraId="6F96C94D" w14:textId="77777777" w:rsidR="004E73B7" w:rsidRDefault="008926D7">
    <w:pPr>
      <w:pStyle w:val="DocExCode"/>
    </w:pPr>
    <w:r>
      <w:fldChar w:fldCharType="begin"/>
    </w:r>
    <w:r>
      <w:instrText xml:space="preserve"> IF "</w:instrText>
    </w:r>
    <w:r w:rsidR="00CE043D">
      <w:fldChar w:fldCharType="begin"/>
    </w:r>
    <w:r w:rsidR="00CE043D">
      <w:instrText xml:space="preserve"> DOCVARIABLE "SWDocIDLocation" </w:instrText>
    </w:r>
    <w:r w:rsidR="00CE043D">
      <w:fldChar w:fldCharType="separate"/>
    </w:r>
    <w:r>
      <w:instrText>1</w:instrText>
    </w:r>
    <w:r w:rsidR="00CE043D">
      <w:fldChar w:fldCharType="end"/>
    </w:r>
    <w:r>
      <w:instrText>" = "1" "</w:instrText>
    </w:r>
    <w:r w:rsidR="00CE043D">
      <w:fldChar w:fldCharType="begin"/>
    </w:r>
    <w:r w:rsidR="00CE043D">
      <w:instrText xml:space="preserve"> DOCPROPERTY "SWDocID" </w:instrText>
    </w:r>
    <w:r w:rsidR="00CE043D">
      <w:fldChar w:fldCharType="separate"/>
    </w:r>
    <w:r>
      <w:instrText>EU 210704347v3</w:instrText>
    </w:r>
    <w:r w:rsidR="00CE043D">
      <w:fldChar w:fldCharType="end"/>
    </w:r>
    <w:r>
      <w:instrText xml:space="preserve">" "" </w:instrText>
    </w:r>
    <w:r>
      <w:fldChar w:fldCharType="separate"/>
    </w:r>
    <w:r>
      <w:rPr>
        <w:noProof/>
      </w:rPr>
      <w:t>EU 210704347v3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87619" w14:textId="77777777" w:rsidR="004E73B7" w:rsidRDefault="004E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DC410" w14:textId="77777777" w:rsidR="00772B4F" w:rsidRDefault="00772B4F">
      <w:r>
        <w:separator/>
      </w:r>
    </w:p>
  </w:footnote>
  <w:footnote w:type="continuationSeparator" w:id="0">
    <w:p w14:paraId="784254AD" w14:textId="77777777" w:rsidR="00772B4F" w:rsidRDefault="00772B4F">
      <w:r>
        <w:continuationSeparator/>
      </w:r>
    </w:p>
  </w:footnote>
  <w:footnote w:id="1">
    <w:p w14:paraId="040CECCA" w14:textId="77777777" w:rsidR="004E73B7" w:rsidRDefault="008926D7">
      <w:pPr>
        <w:pStyle w:val="FootnoteText"/>
      </w:pPr>
      <w:r>
        <w:rPr>
          <w:rStyle w:val="FootnoteReference"/>
        </w:rPr>
        <w:footnoteRef/>
      </w:r>
      <w:r>
        <w:t xml:space="preserve"> </w:t>
      </w:r>
      <w:r>
        <w:rPr>
          <w:b/>
          <w:bCs/>
        </w:rPr>
        <w:t>Note to Draft</w:t>
      </w:r>
      <w:r>
        <w:t>: To be amended to reflect applicable country.</w:t>
      </w:r>
    </w:p>
  </w:footnote>
  <w:footnote w:id="2">
    <w:p w14:paraId="41033919" w14:textId="77777777" w:rsidR="00330BD9" w:rsidRDefault="00330BD9" w:rsidP="00330BD9">
      <w:pPr>
        <w:pStyle w:val="FootnoteText"/>
      </w:pPr>
      <w:r>
        <w:rPr>
          <w:rStyle w:val="FootnoteReference"/>
        </w:rPr>
        <w:footnoteRef/>
      </w:r>
      <w:r>
        <w:t xml:space="preserve"> </w:t>
      </w:r>
      <w:r>
        <w:rPr>
          <w:b/>
          <w:bCs/>
        </w:rPr>
        <w:t>Note to Draft</w:t>
      </w:r>
      <w:r>
        <w:t>: To be amended to reflect local regulatory authority.</w:t>
      </w:r>
    </w:p>
  </w:footnote>
  <w:footnote w:id="3">
    <w:p w14:paraId="286B1D0B" w14:textId="77777777" w:rsidR="004E73B7" w:rsidRDefault="008926D7">
      <w:pPr>
        <w:pStyle w:val="FootnoteText"/>
      </w:pPr>
      <w:r>
        <w:rPr>
          <w:rStyle w:val="FootnoteReference"/>
        </w:rPr>
        <w:footnoteRef/>
      </w:r>
      <w:r>
        <w:tab/>
      </w:r>
      <w:r>
        <w:rPr>
          <w:b/>
          <w:bCs/>
        </w:rPr>
        <w:t>Note to Draft</w:t>
      </w:r>
      <w:r>
        <w:t>: Execution formalities may be amended to reflect local law requirements in respect of the valid execution of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4C8B4" w14:textId="77777777" w:rsidR="004E73B7" w:rsidRDefault="004E7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E509" w14:textId="77777777" w:rsidR="004E73B7" w:rsidRDefault="004E7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B6918" w14:textId="77777777" w:rsidR="004E73B7" w:rsidRDefault="004E7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6FA"/>
    <w:multiLevelType w:val="hybridMultilevel"/>
    <w:tmpl w:val="53D2133A"/>
    <w:lvl w:ilvl="0" w:tplc="6816AAE2">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 w15:restartNumberingAfterBreak="0">
    <w:nsid w:val="03B903C3"/>
    <w:multiLevelType w:val="multilevel"/>
    <w:tmpl w:val="BB16DBE8"/>
    <w:numStyleLink w:val="LLRecitals"/>
  </w:abstractNum>
  <w:abstractNum w:abstractNumId="2" w15:restartNumberingAfterBreak="0">
    <w:nsid w:val="04585653"/>
    <w:multiLevelType w:val="multilevel"/>
    <w:tmpl w:val="70248C04"/>
    <w:lvl w:ilvl="0">
      <w:start w:val="1"/>
      <w:numFmt w:val="decimal"/>
      <w:pStyle w:val="Schedule1"/>
      <w:lvlText w:val="%1"/>
      <w:lvlJc w:val="left"/>
      <w:pPr>
        <w:tabs>
          <w:tab w:val="num" w:pos="680"/>
        </w:tabs>
        <w:ind w:left="680" w:hanging="680"/>
      </w:pPr>
      <w:rPr>
        <w:rFonts w:hAnsi="Arial" w:cs="Times New Roman"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722"/>
        </w:tabs>
        <w:ind w:left="2722" w:hanging="681"/>
      </w:pPr>
      <w:rPr>
        <w:rFonts w:hint="default"/>
      </w:rPr>
    </w:lvl>
    <w:lvl w:ilvl="5">
      <w:start w:val="1"/>
      <w:numFmt w:val="upperRoman"/>
      <w:pStyle w:val="Schedule6"/>
      <w:lvlText w:val="(%6)"/>
      <w:lvlJc w:val="left"/>
      <w:pPr>
        <w:tabs>
          <w:tab w:val="num" w:pos="3402"/>
        </w:tabs>
        <w:ind w:left="3402" w:hanging="680"/>
      </w:pPr>
      <w:rPr>
        <w:rFonts w:hint="default"/>
      </w:rPr>
    </w:lvl>
    <w:lvl w:ilvl="6">
      <w:start w:val="1"/>
      <w:numFmt w:val="none"/>
      <w:lvlRestart w:val="0"/>
      <w:lvlText w:val=""/>
      <w:lvlJc w:val="left"/>
      <w:pPr>
        <w:ind w:left="3402" w:hanging="680"/>
      </w:pPr>
      <w:rPr>
        <w:rFonts w:hint="default"/>
      </w:rPr>
    </w:lvl>
    <w:lvl w:ilvl="7">
      <w:start w:val="1"/>
      <w:numFmt w:val="none"/>
      <w:lvlRestart w:val="0"/>
      <w:lvlText w:val=""/>
      <w:lvlJc w:val="left"/>
      <w:pPr>
        <w:ind w:left="3402" w:hanging="680"/>
      </w:pPr>
      <w:rPr>
        <w:rFonts w:hint="default"/>
      </w:rPr>
    </w:lvl>
    <w:lvl w:ilvl="8">
      <w:start w:val="1"/>
      <w:numFmt w:val="none"/>
      <w:lvlRestart w:val="0"/>
      <w:lvlText w:val=""/>
      <w:lvlJc w:val="left"/>
      <w:pPr>
        <w:ind w:left="3402" w:hanging="680"/>
      </w:pPr>
      <w:rPr>
        <w:rFonts w:hint="default"/>
      </w:rPr>
    </w:lvl>
  </w:abstractNum>
  <w:abstractNum w:abstractNumId="3" w15:restartNumberingAfterBreak="0">
    <w:nsid w:val="059E2F2A"/>
    <w:multiLevelType w:val="multilevel"/>
    <w:tmpl w:val="DF1CD8FE"/>
    <w:styleLink w:val="LLLevel"/>
    <w:lvl w:ilvl="0">
      <w:start w:val="1"/>
      <w:numFmt w:val="decimal"/>
      <w:pStyle w:val="Level1"/>
      <w:lvlText w:val="%1"/>
      <w:lvlJc w:val="left"/>
      <w:pPr>
        <w:tabs>
          <w:tab w:val="num" w:pos="680"/>
        </w:tabs>
        <w:ind w:left="680" w:hanging="680"/>
      </w:pPr>
      <w:rPr>
        <w:rFonts w:hAnsi="Arial" w:cs="Times New Roman"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20"/>
      </w:rPr>
    </w:lvl>
    <w:lvl w:ilvl="4">
      <w:start w:val="1"/>
      <w:numFmt w:val="lowerLetter"/>
      <w:pStyle w:val="Level5"/>
      <w:lvlText w:val="(%5)"/>
      <w:lvlJc w:val="left"/>
      <w:pPr>
        <w:tabs>
          <w:tab w:val="num" w:pos="2722"/>
        </w:tabs>
        <w:ind w:left="2722" w:hanging="681"/>
      </w:pPr>
      <w:rPr>
        <w:rFonts w:hint="default"/>
        <w:sz w:val="20"/>
      </w:rPr>
    </w:lvl>
    <w:lvl w:ilvl="5">
      <w:start w:val="1"/>
      <w:numFmt w:val="upperRoman"/>
      <w:pStyle w:val="Level6"/>
      <w:lvlText w:val="(%6)"/>
      <w:lvlJc w:val="left"/>
      <w:pPr>
        <w:tabs>
          <w:tab w:val="num" w:pos="3402"/>
        </w:tabs>
        <w:ind w:left="3402" w:hanging="680"/>
      </w:pPr>
      <w:rPr>
        <w:rFonts w:hint="default"/>
        <w:sz w:val="20"/>
      </w:rPr>
    </w:lvl>
    <w:lvl w:ilvl="6">
      <w:start w:val="1"/>
      <w:numFmt w:val="none"/>
      <w:pStyle w:val="Level7"/>
      <w:lvlText w:val=""/>
      <w:lvlJc w:val="left"/>
      <w:pPr>
        <w:tabs>
          <w:tab w:val="num" w:pos="3402"/>
        </w:tabs>
        <w:ind w:left="3402" w:hanging="680"/>
      </w:pPr>
      <w:rPr>
        <w:rFonts w:hint="default"/>
      </w:rPr>
    </w:lvl>
    <w:lvl w:ilvl="7">
      <w:start w:val="1"/>
      <w:numFmt w:val="none"/>
      <w:pStyle w:val="Level8"/>
      <w:lvlText w:val=""/>
      <w:lvlJc w:val="left"/>
      <w:pPr>
        <w:tabs>
          <w:tab w:val="num" w:pos="3402"/>
        </w:tabs>
        <w:ind w:left="3402" w:hanging="680"/>
      </w:pPr>
      <w:rPr>
        <w:rFonts w:hint="default"/>
      </w:rPr>
    </w:lvl>
    <w:lvl w:ilvl="8">
      <w:start w:val="1"/>
      <w:numFmt w:val="none"/>
      <w:pStyle w:val="Level9"/>
      <w:lvlText w:val=""/>
      <w:lvlJc w:val="left"/>
      <w:pPr>
        <w:tabs>
          <w:tab w:val="num" w:pos="3402"/>
        </w:tabs>
        <w:ind w:left="3402" w:hanging="680"/>
      </w:pPr>
      <w:rPr>
        <w:rFonts w:hint="default"/>
      </w:rPr>
    </w:lvl>
  </w:abstractNum>
  <w:abstractNum w:abstractNumId="4" w15:restartNumberingAfterBreak="0">
    <w:nsid w:val="0B2668E4"/>
    <w:multiLevelType w:val="multilevel"/>
    <w:tmpl w:val="DF1CD8FE"/>
    <w:numStyleLink w:val="LLLevel"/>
  </w:abstractNum>
  <w:abstractNum w:abstractNumId="5" w15:restartNumberingAfterBreak="0">
    <w:nsid w:val="0C48645C"/>
    <w:multiLevelType w:val="multilevel"/>
    <w:tmpl w:val="8EA4BF86"/>
    <w:lvl w:ilvl="0">
      <w:start w:val="1"/>
      <w:numFmt w:val="decimal"/>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78D3195"/>
    <w:multiLevelType w:val="multilevel"/>
    <w:tmpl w:val="052824E8"/>
    <w:styleLink w:val="LLParties"/>
    <w:lvl w:ilvl="0">
      <w:start w:val="1"/>
      <w:numFmt w:val="decimal"/>
      <w:pStyle w:val="Parties"/>
      <w:lvlText w:val="(%1)"/>
      <w:lvlJc w:val="left"/>
      <w:pPr>
        <w:tabs>
          <w:tab w:val="num" w:pos="680"/>
        </w:tabs>
        <w:ind w:left="680" w:hanging="680"/>
      </w:pPr>
      <w:rPr>
        <w:rFonts w:hAnsi="Arial" w:cs="Times New Roman" w:hint="default"/>
        <w:b/>
        <w:i w:val="0"/>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7" w15:restartNumberingAfterBreak="0">
    <w:nsid w:val="1DE0546B"/>
    <w:multiLevelType w:val="multilevel"/>
    <w:tmpl w:val="052824E8"/>
    <w:numStyleLink w:val="LLParties"/>
  </w:abstractNum>
  <w:abstractNum w:abstractNumId="8" w15:restartNumberingAfterBreak="0">
    <w:nsid w:val="354129BB"/>
    <w:multiLevelType w:val="multilevel"/>
    <w:tmpl w:val="383CCEC4"/>
    <w:styleLink w:val="LLdashbullet"/>
    <w:lvl w:ilvl="0">
      <w:start w:val="1"/>
      <w:numFmt w:val="bullet"/>
      <w:pStyle w:val="dashbullet1"/>
      <w:lvlText w:val=""/>
      <w:lvlJc w:val="left"/>
      <w:pPr>
        <w:tabs>
          <w:tab w:val="num" w:pos="680"/>
        </w:tabs>
        <w:ind w:left="680" w:hanging="680"/>
      </w:pPr>
      <w:rPr>
        <w:rFonts w:ascii="Symbol" w:hAnsi="Symbol" w:cs="Times New Roman" w:hint="default"/>
        <w:color w:val="auto"/>
      </w:rPr>
    </w:lvl>
    <w:lvl w:ilvl="1">
      <w:start w:val="1"/>
      <w:numFmt w:val="bullet"/>
      <w:lvlRestart w:val="0"/>
      <w:pStyle w:val="dashbullet2"/>
      <w:lvlText w:val=""/>
      <w:lvlJc w:val="left"/>
      <w:pPr>
        <w:tabs>
          <w:tab w:val="num" w:pos="1361"/>
        </w:tabs>
        <w:ind w:left="1361" w:hanging="681"/>
      </w:pPr>
      <w:rPr>
        <w:rFonts w:ascii="Symbol" w:hAnsi="Symbol" w:cs="Times New Roman" w:hint="default"/>
        <w:color w:val="auto"/>
      </w:rPr>
    </w:lvl>
    <w:lvl w:ilvl="2">
      <w:start w:val="1"/>
      <w:numFmt w:val="bullet"/>
      <w:lvlRestart w:val="0"/>
      <w:pStyle w:val="dashbullet3"/>
      <w:lvlText w:val=""/>
      <w:lvlJc w:val="left"/>
      <w:pPr>
        <w:tabs>
          <w:tab w:val="num" w:pos="2041"/>
        </w:tabs>
        <w:ind w:left="2041" w:hanging="680"/>
      </w:pPr>
      <w:rPr>
        <w:rFonts w:ascii="Symbol" w:hAnsi="Symbol" w:cs="Times New Roman" w:hint="default"/>
        <w:color w:val="auto"/>
      </w:rPr>
    </w:lvl>
    <w:lvl w:ilvl="3">
      <w:start w:val="1"/>
      <w:numFmt w:val="bullet"/>
      <w:lvlRestart w:val="0"/>
      <w:pStyle w:val="dashbullet4"/>
      <w:lvlText w:val=""/>
      <w:lvlJc w:val="left"/>
      <w:pPr>
        <w:tabs>
          <w:tab w:val="num" w:pos="2722"/>
        </w:tabs>
        <w:ind w:left="2722" w:hanging="681"/>
      </w:pPr>
      <w:rPr>
        <w:rFonts w:ascii="Symbol" w:hAnsi="Symbol" w:cs="Times New Roman" w:hint="default"/>
        <w:color w:val="auto"/>
      </w:rPr>
    </w:lvl>
    <w:lvl w:ilvl="4">
      <w:start w:val="1"/>
      <w:numFmt w:val="bullet"/>
      <w:lvlRestart w:val="0"/>
      <w:pStyle w:val="dashbullet5"/>
      <w:lvlText w:val=""/>
      <w:lvlJc w:val="left"/>
      <w:pPr>
        <w:tabs>
          <w:tab w:val="num" w:pos="3402"/>
        </w:tabs>
        <w:ind w:left="3402" w:hanging="680"/>
      </w:pPr>
      <w:rPr>
        <w:rFonts w:ascii="Symbol" w:hAnsi="Symbol" w:cs="Times New Roman" w:hint="default"/>
        <w:color w:val="auto"/>
      </w:rPr>
    </w:lvl>
    <w:lvl w:ilvl="5">
      <w:start w:val="1"/>
      <w:numFmt w:val="bullet"/>
      <w:lvlRestart w:val="0"/>
      <w:pStyle w:val="dashbullet6"/>
      <w:lvlText w:val=""/>
      <w:lvlJc w:val="left"/>
      <w:pPr>
        <w:tabs>
          <w:tab w:val="num" w:pos="4082"/>
        </w:tabs>
        <w:ind w:left="4082" w:hanging="680"/>
      </w:pPr>
      <w:rPr>
        <w:rFonts w:ascii="Symbol" w:hAnsi="Symbol" w:cs="Times New Roman" w:hint="default"/>
        <w:color w:val="auto"/>
      </w:rPr>
    </w:lvl>
    <w:lvl w:ilvl="6">
      <w:start w:val="1"/>
      <w:numFmt w:val="none"/>
      <w:lvlRestart w:val="0"/>
      <w:lvlText w:val=""/>
      <w:lvlJc w:val="left"/>
      <w:pPr>
        <w:ind w:left="4082" w:hanging="680"/>
      </w:pPr>
      <w:rPr>
        <w:rFonts w:hint="default"/>
      </w:rPr>
    </w:lvl>
    <w:lvl w:ilvl="7">
      <w:start w:val="1"/>
      <w:numFmt w:val="none"/>
      <w:lvlRestart w:val="0"/>
      <w:lvlText w:val=""/>
      <w:lvlJc w:val="left"/>
      <w:pPr>
        <w:ind w:left="4082" w:hanging="680"/>
      </w:pPr>
      <w:rPr>
        <w:rFonts w:hint="default"/>
      </w:rPr>
    </w:lvl>
    <w:lvl w:ilvl="8">
      <w:start w:val="1"/>
      <w:numFmt w:val="none"/>
      <w:lvlRestart w:val="0"/>
      <w:lvlText w:val=""/>
      <w:lvlJc w:val="left"/>
      <w:pPr>
        <w:ind w:left="4082" w:hanging="680"/>
      </w:pPr>
      <w:rPr>
        <w:rFonts w:hint="default"/>
      </w:rPr>
    </w:lvl>
  </w:abstractNum>
  <w:abstractNum w:abstractNumId="9" w15:restartNumberingAfterBreak="0">
    <w:nsid w:val="56F71436"/>
    <w:multiLevelType w:val="multilevel"/>
    <w:tmpl w:val="383CCEC4"/>
    <w:numStyleLink w:val="LLdashbullet"/>
  </w:abstractNum>
  <w:abstractNum w:abstractNumId="10" w15:restartNumberingAfterBreak="0">
    <w:nsid w:val="5FCB4379"/>
    <w:multiLevelType w:val="multilevel"/>
    <w:tmpl w:val="6FA814F0"/>
    <w:lvl w:ilvl="0">
      <w:start w:val="1"/>
      <w:numFmt w:val="upperLetter"/>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860861"/>
    <w:multiLevelType w:val="multilevel"/>
    <w:tmpl w:val="BB16DBE8"/>
    <w:styleLink w:val="LLRecitals"/>
    <w:lvl w:ilvl="0">
      <w:start w:val="1"/>
      <w:numFmt w:val="upperLetter"/>
      <w:pStyle w:val="Recitals"/>
      <w:lvlText w:val="(%1)"/>
      <w:lvlJc w:val="left"/>
      <w:pPr>
        <w:tabs>
          <w:tab w:val="num" w:pos="680"/>
        </w:tabs>
        <w:ind w:left="680" w:hanging="680"/>
      </w:pPr>
      <w:rPr>
        <w:rFonts w:hAnsi="Arial" w:cs="Times New Roman" w:hint="default"/>
      </w:rPr>
    </w:lvl>
    <w:lvl w:ilvl="1">
      <w:start w:val="1"/>
      <w:numFmt w:val="none"/>
      <w:lvlRestart w:val="0"/>
      <w:lvlText w:val=""/>
      <w:lvlJc w:val="left"/>
      <w:pPr>
        <w:ind w:left="680" w:hanging="680"/>
      </w:pPr>
      <w:rPr>
        <w:rFonts w:hint="default"/>
      </w:rPr>
    </w:lvl>
    <w:lvl w:ilvl="2">
      <w:start w:val="1"/>
      <w:numFmt w:val="none"/>
      <w:lvlRestart w:val="0"/>
      <w:lvlText w:val=""/>
      <w:lvlJc w:val="left"/>
      <w:pPr>
        <w:ind w:left="680" w:hanging="680"/>
      </w:pPr>
      <w:rPr>
        <w:rFonts w:hint="default"/>
      </w:rPr>
    </w:lvl>
    <w:lvl w:ilvl="3">
      <w:start w:val="1"/>
      <w:numFmt w:val="none"/>
      <w:lvlRestart w:val="0"/>
      <w:lvlText w:val=""/>
      <w:lvlJc w:val="left"/>
      <w:pPr>
        <w:ind w:left="680" w:hanging="680"/>
      </w:pPr>
      <w:rPr>
        <w:rFonts w:hint="default"/>
      </w:rPr>
    </w:lvl>
    <w:lvl w:ilvl="4">
      <w:start w:val="1"/>
      <w:numFmt w:val="none"/>
      <w:lvlRestart w:val="0"/>
      <w:lvlText w:val=""/>
      <w:lvlJc w:val="left"/>
      <w:pPr>
        <w:ind w:left="680" w:hanging="680"/>
      </w:pPr>
      <w:rPr>
        <w:rFonts w:hint="default"/>
      </w:rPr>
    </w:lvl>
    <w:lvl w:ilvl="5">
      <w:start w:val="1"/>
      <w:numFmt w:val="none"/>
      <w:lvlRestart w:val="0"/>
      <w:lvlText w:val=""/>
      <w:lvlJc w:val="left"/>
      <w:pPr>
        <w:ind w:left="680" w:hanging="680"/>
      </w:pPr>
      <w:rPr>
        <w:rFonts w:hint="default"/>
      </w:rPr>
    </w:lvl>
    <w:lvl w:ilvl="6">
      <w:start w:val="1"/>
      <w:numFmt w:val="none"/>
      <w:lvlRestart w:val="0"/>
      <w:lvlText w:val=""/>
      <w:lvlJc w:val="left"/>
      <w:pPr>
        <w:ind w:left="680" w:hanging="680"/>
      </w:pPr>
      <w:rPr>
        <w:rFonts w:hint="default"/>
      </w:rPr>
    </w:lvl>
    <w:lvl w:ilvl="7">
      <w:start w:val="1"/>
      <w:numFmt w:val="none"/>
      <w:lvlRestart w:val="0"/>
      <w:lvlText w:val=""/>
      <w:lvlJc w:val="left"/>
      <w:pPr>
        <w:ind w:left="680" w:hanging="680"/>
      </w:pPr>
      <w:rPr>
        <w:rFonts w:hint="default"/>
      </w:rPr>
    </w:lvl>
    <w:lvl w:ilvl="8">
      <w:start w:val="1"/>
      <w:numFmt w:val="none"/>
      <w:lvlRestart w:val="0"/>
      <w:lvlText w:val=""/>
      <w:lvlJc w:val="left"/>
      <w:pPr>
        <w:ind w:left="680" w:hanging="680"/>
      </w:pPr>
      <w:rPr>
        <w:rFonts w:hint="default"/>
      </w:rPr>
    </w:lvl>
  </w:abstractNum>
  <w:abstractNum w:abstractNumId="12" w15:restartNumberingAfterBreak="0">
    <w:nsid w:val="6B1D1232"/>
    <w:multiLevelType w:val="multilevel"/>
    <w:tmpl w:val="9FF4C47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abstractNumId w:val="8"/>
  </w:num>
  <w:num w:numId="2">
    <w:abstractNumId w:val="3"/>
  </w:num>
  <w:num w:numId="3">
    <w:abstractNumId w:val="6"/>
  </w:num>
  <w:num w:numId="4">
    <w:abstractNumId w:val="11"/>
  </w:num>
  <w:num w:numId="5">
    <w:abstractNumId w:val="4"/>
  </w:num>
  <w:num w:numId="6">
    <w:abstractNumId w:val="9"/>
  </w:num>
  <w:num w:numId="7">
    <w:abstractNumId w:val="7"/>
  </w:num>
  <w:num w:numId="8">
    <w:abstractNumId w:val="1"/>
  </w:num>
  <w:num w:numId="9">
    <w:abstractNumId w:val="2"/>
  </w:num>
  <w:num w:numId="10">
    <w:abstractNumId w:val="12"/>
  </w:num>
  <w:num w:numId="11">
    <w:abstractNumId w:val="5"/>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B7"/>
    <w:rsid w:val="00330BD9"/>
    <w:rsid w:val="0040183F"/>
    <w:rsid w:val="004E73B7"/>
    <w:rsid w:val="00772B4F"/>
    <w:rsid w:val="008926D7"/>
    <w:rsid w:val="00CE043D"/>
    <w:rsid w:val="00E9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6DACC"/>
  <w15:chartTrackingRefBased/>
  <w15:docId w15:val="{10AFD7F8-262D-4154-83E7-CFE79EA8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SDate">
    <w:name w:val="zFSDate"/>
    <w:basedOn w:val="Normal"/>
    <w:unhideWhenUsed/>
    <w:pPr>
      <w:spacing w:before="80" w:after="80" w:line="290" w:lineRule="auto"/>
    </w:pPr>
    <w:rPr>
      <w:rFonts w:cs="Times New Roman"/>
      <w:sz w:val="24"/>
    </w:rPr>
  </w:style>
  <w:style w:type="paragraph" w:customStyle="1" w:styleId="zFSco-names">
    <w:name w:val="zFSco-names"/>
    <w:basedOn w:val="Normal"/>
    <w:next w:val="zFSand"/>
    <w:unhideWhenUsed/>
    <w:pPr>
      <w:spacing w:before="120" w:after="120" w:line="290" w:lineRule="auto"/>
    </w:pPr>
    <w:rPr>
      <w:rFonts w:eastAsia="SimSun" w:cs="Times New Roman"/>
      <w:color w:val="000000" w:themeColor="text1"/>
      <w:kern w:val="24"/>
      <w:sz w:val="32"/>
      <w:szCs w:val="48"/>
    </w:rPr>
  </w:style>
  <w:style w:type="paragraph" w:customStyle="1" w:styleId="zFSand">
    <w:name w:val="zFSand"/>
    <w:basedOn w:val="Normal"/>
    <w:next w:val="zFSco-names"/>
    <w:unhideWhenUsed/>
    <w:pPr>
      <w:spacing w:after="180" w:line="290" w:lineRule="auto"/>
    </w:pPr>
    <w:rPr>
      <w:rFonts w:eastAsia="SimSun" w:cs="Times New Roman"/>
      <w:kern w:val="20"/>
      <w:szCs w:val="20"/>
    </w:rPr>
  </w:style>
  <w:style w:type="paragraph" w:customStyle="1" w:styleId="zFSNarrative">
    <w:name w:val="zFSNarrative"/>
    <w:basedOn w:val="Normal"/>
    <w:unhideWhenUsed/>
    <w:pPr>
      <w:spacing w:before="60" w:after="60" w:line="290" w:lineRule="auto"/>
    </w:pPr>
    <w:rPr>
      <w:rFonts w:cs="Times New Roman"/>
      <w:color w:val="000000" w:themeColor="text1"/>
      <w:kern w:val="20"/>
      <w:sz w:val="24"/>
    </w:rPr>
  </w:style>
  <w:style w:type="paragraph" w:customStyle="1" w:styleId="zFSTitle">
    <w:name w:val="zFSTitle"/>
    <w:basedOn w:val="Normal"/>
    <w:unhideWhenUsed/>
    <w:pPr>
      <w:spacing w:before="60" w:after="60" w:line="290" w:lineRule="auto"/>
    </w:pPr>
    <w:rPr>
      <w:rFonts w:cs="Times New Roman"/>
      <w:color w:val="44546A" w:themeColor="text2"/>
      <w:sz w:val="36"/>
      <w:szCs w:val="32"/>
    </w:rPr>
  </w:style>
  <w:style w:type="paragraph" w:customStyle="1" w:styleId="Body">
    <w:name w:val="Body"/>
    <w:aliases w:val="by,newBody,b,b10pt,body,2,Body1,Text1,Body2,Text2,31"/>
    <w:basedOn w:val="Normal"/>
    <w:link w:val="BodyChar"/>
    <w:pPr>
      <w:spacing w:after="140" w:line="290" w:lineRule="auto"/>
      <w:jc w:val="both"/>
    </w:pPr>
    <w:rPr>
      <w:rFonts w:cs="Times New Roman"/>
      <w:kern w:val="20"/>
    </w:rPr>
  </w:style>
  <w:style w:type="paragraph" w:styleId="Header">
    <w:name w:val="header"/>
    <w:basedOn w:val="Normal"/>
    <w:link w:val="HeaderChar"/>
    <w:unhideWhenUsed/>
    <w:pPr>
      <w:tabs>
        <w:tab w:val="center" w:pos="4366"/>
        <w:tab w:val="right" w:pos="8732"/>
      </w:tabs>
    </w:pPr>
    <w:rPr>
      <w:rFonts w:eastAsia="Times New Roman" w:cs="Times New Roman"/>
      <w:kern w:val="20"/>
      <w:szCs w:val="24"/>
      <w:lang w:eastAsia="en-GB"/>
    </w:rPr>
  </w:style>
  <w:style w:type="character" w:customStyle="1" w:styleId="HeaderChar">
    <w:name w:val="Header Char"/>
    <w:basedOn w:val="DefaultParagraphFont"/>
    <w:link w:val="Header"/>
    <w:rPr>
      <w:rFonts w:ascii="Arial" w:eastAsia="Times New Roman" w:hAnsi="Arial" w:cs="Times New Roman"/>
      <w:kern w:val="20"/>
      <w:sz w:val="20"/>
      <w:szCs w:val="24"/>
      <w:lang w:eastAsia="en-GB"/>
    </w:rPr>
  </w:style>
  <w:style w:type="paragraph" w:styleId="Footer">
    <w:name w:val="footer"/>
    <w:basedOn w:val="Normal"/>
    <w:link w:val="FooterChar"/>
    <w:unhideWhenUsed/>
    <w:pPr>
      <w:spacing w:before="120" w:after="120" w:line="290" w:lineRule="auto"/>
      <w:jc w:val="both"/>
    </w:pPr>
    <w:rPr>
      <w:sz w:val="16"/>
    </w:rPr>
  </w:style>
  <w:style w:type="character" w:customStyle="1" w:styleId="FooterChar">
    <w:name w:val="Footer Char"/>
    <w:basedOn w:val="DefaultParagraphFont"/>
    <w:link w:val="Footer"/>
    <w:rPr>
      <w:rFonts w:ascii="Arial" w:hAnsi="Arial"/>
      <w:sz w:val="16"/>
    </w:rPr>
  </w:style>
  <w:style w:type="paragraph" w:customStyle="1" w:styleId="Body1">
    <w:name w:val="Body 1"/>
    <w:basedOn w:val="Normal"/>
    <w:pPr>
      <w:spacing w:after="140" w:line="290" w:lineRule="auto"/>
      <w:ind w:left="680"/>
      <w:jc w:val="both"/>
    </w:pPr>
    <w:rPr>
      <w:rFonts w:cs="Times New Roman"/>
      <w:kern w:val="20"/>
    </w:rPr>
  </w:style>
  <w:style w:type="paragraph" w:customStyle="1" w:styleId="Body2">
    <w:name w:val="Body 2"/>
    <w:basedOn w:val="Normal"/>
    <w:pPr>
      <w:spacing w:after="140" w:line="290" w:lineRule="auto"/>
      <w:ind w:left="680"/>
      <w:jc w:val="both"/>
    </w:pPr>
    <w:rPr>
      <w:rFonts w:cs="Times New Roman"/>
      <w:kern w:val="20"/>
    </w:rPr>
  </w:style>
  <w:style w:type="paragraph" w:customStyle="1" w:styleId="CellBody">
    <w:name w:val="CellBody"/>
    <w:basedOn w:val="Normal"/>
    <w:pPr>
      <w:spacing w:before="60" w:after="60" w:line="290" w:lineRule="auto"/>
    </w:pPr>
    <w:rPr>
      <w:rFonts w:cs="Times New Roman"/>
      <w:kern w:val="20"/>
    </w:rPr>
  </w:style>
  <w:style w:type="paragraph" w:customStyle="1" w:styleId="dashbullet1">
    <w:name w:val="dash bullet 1"/>
    <w:basedOn w:val="Normal"/>
    <w:pPr>
      <w:numPr>
        <w:numId w:val="6"/>
      </w:numPr>
      <w:spacing w:after="140" w:line="290" w:lineRule="auto"/>
      <w:jc w:val="both"/>
      <w:outlineLvl w:val="0"/>
    </w:pPr>
    <w:rPr>
      <w:rFonts w:cs="Times New Roman"/>
      <w:kern w:val="20"/>
    </w:rPr>
  </w:style>
  <w:style w:type="paragraph" w:customStyle="1" w:styleId="dashbullet2">
    <w:name w:val="dash bullet 2"/>
    <w:basedOn w:val="Normal"/>
    <w:pPr>
      <w:numPr>
        <w:ilvl w:val="1"/>
        <w:numId w:val="6"/>
      </w:numPr>
      <w:spacing w:after="140" w:line="290" w:lineRule="auto"/>
      <w:jc w:val="both"/>
      <w:outlineLvl w:val="1"/>
    </w:pPr>
    <w:rPr>
      <w:rFonts w:cs="Times New Roman"/>
      <w:kern w:val="20"/>
    </w:rPr>
  </w:style>
  <w:style w:type="paragraph" w:customStyle="1" w:styleId="dashbullet3">
    <w:name w:val="dash bullet 3"/>
    <w:basedOn w:val="Normal"/>
    <w:pPr>
      <w:numPr>
        <w:ilvl w:val="2"/>
        <w:numId w:val="6"/>
      </w:numPr>
      <w:spacing w:after="140" w:line="290" w:lineRule="auto"/>
      <w:jc w:val="both"/>
      <w:outlineLvl w:val="2"/>
    </w:pPr>
    <w:rPr>
      <w:rFonts w:cs="Times New Roman"/>
      <w:kern w:val="20"/>
    </w:rPr>
  </w:style>
  <w:style w:type="paragraph" w:customStyle="1" w:styleId="dashbullet4">
    <w:name w:val="dash bullet 4"/>
    <w:basedOn w:val="Normal"/>
    <w:pPr>
      <w:numPr>
        <w:ilvl w:val="3"/>
        <w:numId w:val="6"/>
      </w:numPr>
      <w:spacing w:after="140" w:line="290" w:lineRule="auto"/>
      <w:jc w:val="both"/>
      <w:outlineLvl w:val="3"/>
    </w:pPr>
    <w:rPr>
      <w:rFonts w:cs="Times New Roman"/>
      <w:kern w:val="20"/>
    </w:rPr>
  </w:style>
  <w:style w:type="paragraph" w:customStyle="1" w:styleId="dashbullet5">
    <w:name w:val="dash bullet 5"/>
    <w:basedOn w:val="Normal"/>
    <w:pPr>
      <w:numPr>
        <w:ilvl w:val="4"/>
        <w:numId w:val="6"/>
      </w:numPr>
      <w:spacing w:after="140" w:line="290" w:lineRule="auto"/>
      <w:jc w:val="both"/>
      <w:outlineLvl w:val="4"/>
    </w:pPr>
    <w:rPr>
      <w:rFonts w:cs="Times New Roman"/>
      <w:kern w:val="20"/>
    </w:rPr>
  </w:style>
  <w:style w:type="paragraph" w:customStyle="1" w:styleId="dashbullet6">
    <w:name w:val="dash bullet 6"/>
    <w:basedOn w:val="Normal"/>
    <w:pPr>
      <w:numPr>
        <w:ilvl w:val="5"/>
        <w:numId w:val="6"/>
      </w:numPr>
      <w:spacing w:after="140" w:line="290" w:lineRule="auto"/>
      <w:jc w:val="both"/>
      <w:outlineLvl w:val="5"/>
    </w:pPr>
    <w:rPr>
      <w:rFonts w:cs="Times New Roman"/>
      <w:kern w:val="20"/>
    </w:rPr>
  </w:style>
  <w:style w:type="paragraph" w:customStyle="1" w:styleId="DocExCode">
    <w:name w:val="DocExCode"/>
    <w:basedOn w:val="Normal"/>
    <w:pPr>
      <w:pBdr>
        <w:top w:val="single" w:sz="4" w:space="1" w:color="auto"/>
      </w:pBdr>
    </w:pPr>
    <w:rPr>
      <w:rFonts w:cs="Times New Roman"/>
      <w:sz w:val="16"/>
    </w:rPr>
  </w:style>
  <w:style w:type="paragraph" w:customStyle="1" w:styleId="Level1">
    <w:name w:val="Level 1"/>
    <w:basedOn w:val="Normal"/>
    <w:next w:val="Body1"/>
    <w:pPr>
      <w:keepNext/>
      <w:numPr>
        <w:numId w:val="5"/>
      </w:numPr>
      <w:spacing w:before="280" w:after="140" w:line="290" w:lineRule="auto"/>
      <w:jc w:val="both"/>
      <w:outlineLvl w:val="0"/>
    </w:pPr>
    <w:rPr>
      <w:rFonts w:cs="Times New Roman"/>
      <w:b/>
      <w:bCs/>
      <w:kern w:val="20"/>
      <w:sz w:val="22"/>
      <w:szCs w:val="32"/>
    </w:rPr>
  </w:style>
  <w:style w:type="paragraph" w:customStyle="1" w:styleId="Level2">
    <w:name w:val="Level 2"/>
    <w:basedOn w:val="Normal"/>
    <w:link w:val="Level2Char"/>
    <w:qFormat/>
    <w:pPr>
      <w:numPr>
        <w:ilvl w:val="1"/>
        <w:numId w:val="5"/>
      </w:numPr>
      <w:spacing w:after="140" w:line="290" w:lineRule="auto"/>
      <w:jc w:val="both"/>
      <w:outlineLvl w:val="1"/>
    </w:pPr>
    <w:rPr>
      <w:rFonts w:cs="Times New Roman"/>
      <w:kern w:val="20"/>
      <w:szCs w:val="28"/>
    </w:rPr>
  </w:style>
  <w:style w:type="paragraph" w:customStyle="1" w:styleId="Level3">
    <w:name w:val="Level 3"/>
    <w:basedOn w:val="Normal"/>
    <w:link w:val="Level3Char"/>
    <w:pPr>
      <w:numPr>
        <w:ilvl w:val="2"/>
        <w:numId w:val="5"/>
      </w:numPr>
      <w:spacing w:after="140" w:line="290" w:lineRule="auto"/>
      <w:jc w:val="both"/>
      <w:outlineLvl w:val="2"/>
    </w:pPr>
    <w:rPr>
      <w:rFonts w:cs="Times New Roman"/>
      <w:kern w:val="20"/>
      <w:szCs w:val="28"/>
    </w:rPr>
  </w:style>
  <w:style w:type="paragraph" w:customStyle="1" w:styleId="Level4">
    <w:name w:val="Level 4"/>
    <w:basedOn w:val="Normal"/>
    <w:pPr>
      <w:numPr>
        <w:ilvl w:val="3"/>
        <w:numId w:val="5"/>
      </w:numPr>
      <w:spacing w:after="140" w:line="290" w:lineRule="auto"/>
      <w:jc w:val="both"/>
      <w:outlineLvl w:val="3"/>
    </w:pPr>
    <w:rPr>
      <w:rFonts w:cs="Times New Roman"/>
      <w:kern w:val="20"/>
    </w:rPr>
  </w:style>
  <w:style w:type="paragraph" w:customStyle="1" w:styleId="Level5">
    <w:name w:val="Level 5"/>
    <w:basedOn w:val="Normal"/>
    <w:pPr>
      <w:numPr>
        <w:ilvl w:val="4"/>
        <w:numId w:val="5"/>
      </w:numPr>
      <w:spacing w:after="140" w:line="290" w:lineRule="auto"/>
      <w:jc w:val="both"/>
      <w:outlineLvl w:val="4"/>
    </w:pPr>
    <w:rPr>
      <w:rFonts w:cs="Times New Roman"/>
      <w:kern w:val="20"/>
    </w:rPr>
  </w:style>
  <w:style w:type="paragraph" w:customStyle="1" w:styleId="Level6">
    <w:name w:val="Level 6"/>
    <w:basedOn w:val="Normal"/>
    <w:pPr>
      <w:numPr>
        <w:ilvl w:val="5"/>
        <w:numId w:val="5"/>
      </w:numPr>
      <w:spacing w:after="140" w:line="290" w:lineRule="auto"/>
      <w:jc w:val="both"/>
      <w:outlineLvl w:val="5"/>
    </w:pPr>
    <w:rPr>
      <w:rFonts w:cs="Times New Roman"/>
      <w:kern w:val="20"/>
    </w:rPr>
  </w:style>
  <w:style w:type="paragraph" w:customStyle="1" w:styleId="Level7">
    <w:name w:val="Level 7"/>
    <w:basedOn w:val="Normal"/>
    <w:pPr>
      <w:numPr>
        <w:ilvl w:val="6"/>
        <w:numId w:val="5"/>
      </w:numPr>
      <w:spacing w:after="140" w:line="290" w:lineRule="auto"/>
      <w:jc w:val="both"/>
      <w:outlineLvl w:val="6"/>
    </w:pPr>
    <w:rPr>
      <w:rFonts w:cs="Times New Roman"/>
      <w:kern w:val="20"/>
    </w:rPr>
  </w:style>
  <w:style w:type="paragraph" w:customStyle="1" w:styleId="Level8">
    <w:name w:val="Level 8"/>
    <w:basedOn w:val="Normal"/>
    <w:pPr>
      <w:numPr>
        <w:ilvl w:val="7"/>
        <w:numId w:val="5"/>
      </w:numPr>
      <w:spacing w:after="140" w:line="290" w:lineRule="auto"/>
      <w:jc w:val="both"/>
      <w:outlineLvl w:val="7"/>
    </w:pPr>
    <w:rPr>
      <w:rFonts w:cs="Times New Roman"/>
      <w:kern w:val="20"/>
    </w:rPr>
  </w:style>
  <w:style w:type="paragraph" w:customStyle="1" w:styleId="Level9">
    <w:name w:val="Level 9"/>
    <w:basedOn w:val="Normal"/>
    <w:pPr>
      <w:numPr>
        <w:ilvl w:val="8"/>
        <w:numId w:val="5"/>
      </w:numPr>
      <w:spacing w:after="140" w:line="290" w:lineRule="auto"/>
      <w:jc w:val="both"/>
      <w:outlineLvl w:val="8"/>
    </w:pPr>
    <w:rPr>
      <w:rFonts w:cs="Times New Roman"/>
      <w:kern w:val="20"/>
    </w:rPr>
  </w:style>
  <w:style w:type="paragraph" w:customStyle="1" w:styleId="Parties">
    <w:name w:val="Parties"/>
    <w:basedOn w:val="Normal"/>
    <w:pPr>
      <w:numPr>
        <w:numId w:val="7"/>
      </w:numPr>
      <w:spacing w:after="140" w:line="290" w:lineRule="auto"/>
      <w:jc w:val="both"/>
    </w:pPr>
    <w:rPr>
      <w:rFonts w:cs="Times New Roman"/>
      <w:kern w:val="20"/>
    </w:rPr>
  </w:style>
  <w:style w:type="paragraph" w:customStyle="1" w:styleId="Recitals">
    <w:name w:val="Recitals"/>
    <w:basedOn w:val="Normal"/>
    <w:pPr>
      <w:numPr>
        <w:numId w:val="8"/>
      </w:numPr>
      <w:spacing w:after="140" w:line="290" w:lineRule="auto"/>
      <w:jc w:val="both"/>
    </w:pPr>
    <w:rPr>
      <w:rFonts w:cs="Times New Roman"/>
      <w:kern w:val="20"/>
    </w:rPr>
  </w:style>
  <w:style w:type="paragraph" w:customStyle="1" w:styleId="Schedule1">
    <w:name w:val="Schedule 1"/>
    <w:basedOn w:val="Normal"/>
    <w:pPr>
      <w:numPr>
        <w:numId w:val="9"/>
      </w:numPr>
      <w:spacing w:after="140" w:line="290" w:lineRule="auto"/>
      <w:jc w:val="both"/>
      <w:outlineLvl w:val="0"/>
    </w:pPr>
    <w:rPr>
      <w:rFonts w:cs="Times New Roman"/>
      <w:kern w:val="20"/>
    </w:rPr>
  </w:style>
  <w:style w:type="paragraph" w:customStyle="1" w:styleId="Schedule2">
    <w:name w:val="Schedule 2"/>
    <w:basedOn w:val="Normal"/>
    <w:pPr>
      <w:numPr>
        <w:ilvl w:val="1"/>
        <w:numId w:val="9"/>
      </w:numPr>
      <w:spacing w:after="140" w:line="290" w:lineRule="auto"/>
      <w:jc w:val="both"/>
      <w:outlineLvl w:val="0"/>
    </w:pPr>
    <w:rPr>
      <w:rFonts w:cs="Times New Roman"/>
      <w:kern w:val="20"/>
    </w:rPr>
  </w:style>
  <w:style w:type="paragraph" w:customStyle="1" w:styleId="Schedule3">
    <w:name w:val="Schedule 3"/>
    <w:basedOn w:val="Normal"/>
    <w:pPr>
      <w:numPr>
        <w:ilvl w:val="2"/>
        <w:numId w:val="9"/>
      </w:numPr>
      <w:spacing w:after="140" w:line="290" w:lineRule="auto"/>
      <w:jc w:val="both"/>
      <w:outlineLvl w:val="1"/>
    </w:pPr>
    <w:rPr>
      <w:rFonts w:cs="Times New Roman"/>
      <w:kern w:val="20"/>
    </w:rPr>
  </w:style>
  <w:style w:type="paragraph" w:customStyle="1" w:styleId="Schedule4">
    <w:name w:val="Schedule 4"/>
    <w:basedOn w:val="Normal"/>
    <w:pPr>
      <w:numPr>
        <w:ilvl w:val="3"/>
        <w:numId w:val="9"/>
      </w:numPr>
      <w:spacing w:after="140" w:line="290" w:lineRule="auto"/>
      <w:jc w:val="both"/>
      <w:outlineLvl w:val="2"/>
    </w:pPr>
    <w:rPr>
      <w:rFonts w:cs="Times New Roman"/>
      <w:kern w:val="20"/>
    </w:rPr>
  </w:style>
  <w:style w:type="paragraph" w:customStyle="1" w:styleId="Schedule5">
    <w:name w:val="Schedule 5"/>
    <w:basedOn w:val="Normal"/>
    <w:pPr>
      <w:numPr>
        <w:ilvl w:val="4"/>
        <w:numId w:val="9"/>
      </w:numPr>
      <w:spacing w:after="140" w:line="290" w:lineRule="auto"/>
      <w:jc w:val="both"/>
      <w:outlineLvl w:val="3"/>
    </w:pPr>
    <w:rPr>
      <w:rFonts w:cs="Times New Roman"/>
      <w:kern w:val="20"/>
    </w:rPr>
  </w:style>
  <w:style w:type="paragraph" w:customStyle="1" w:styleId="Schedule6">
    <w:name w:val="Schedule 6"/>
    <w:basedOn w:val="Normal"/>
    <w:pPr>
      <w:numPr>
        <w:ilvl w:val="5"/>
        <w:numId w:val="9"/>
      </w:numPr>
      <w:spacing w:after="140" w:line="290" w:lineRule="auto"/>
      <w:jc w:val="both"/>
      <w:outlineLvl w:val="5"/>
    </w:pPr>
    <w:rPr>
      <w:rFonts w:cs="Times New Roman"/>
      <w:kern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nhideWhenUsed/>
    <w:qFormat/>
    <w:pPr>
      <w:spacing w:after="60" w:line="200" w:lineRule="atLeast"/>
      <w:ind w:left="227" w:hanging="227"/>
      <w:jc w:val="both"/>
    </w:pPr>
    <w:rPr>
      <w:sz w:val="16"/>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rPr>
      <w:rFonts w:ascii="Arial" w:hAnsi="Arial"/>
      <w:sz w:val="16"/>
      <w:szCs w:val="20"/>
    </w:rPr>
  </w:style>
  <w:style w:type="numbering" w:customStyle="1" w:styleId="LLdashbullet">
    <w:name w:val="LL_dash bullet"/>
    <w:uiPriority w:val="99"/>
    <w:pPr>
      <w:numPr>
        <w:numId w:val="1"/>
      </w:numPr>
    </w:pPr>
  </w:style>
  <w:style w:type="numbering" w:customStyle="1" w:styleId="LLLevel">
    <w:name w:val="LL_Level"/>
    <w:uiPriority w:val="99"/>
    <w:pPr>
      <w:numPr>
        <w:numId w:val="2"/>
      </w:numPr>
    </w:pPr>
  </w:style>
  <w:style w:type="numbering" w:customStyle="1" w:styleId="LLParties">
    <w:name w:val="LL_Parties"/>
    <w:uiPriority w:val="99"/>
    <w:pPr>
      <w:numPr>
        <w:numId w:val="3"/>
      </w:numPr>
    </w:pPr>
  </w:style>
  <w:style w:type="numbering" w:customStyle="1" w:styleId="LLRecitals">
    <w:name w:val="LL_Recitals"/>
    <w:uiPriority w:val="99"/>
    <w:pPr>
      <w:numPr>
        <w:numId w:val="4"/>
      </w:numPr>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basedOn w:val="DefaultParagraphFont"/>
    <w:link w:val="1"/>
    <w:unhideWhenUsed/>
    <w:rPr>
      <w:vertAlign w:val="superscript"/>
    </w:rPr>
  </w:style>
  <w:style w:type="character" w:styleId="PageNumber">
    <w:name w:val="page number"/>
    <w:basedOn w:val="DefaultParagraphFont"/>
    <w:unhideWhenUsed/>
    <w:rPr>
      <w:sz w:val="20"/>
    </w:rPr>
  </w:style>
  <w:style w:type="character" w:customStyle="1" w:styleId="BodyChar">
    <w:name w:val="Body Char"/>
    <w:aliases w:val="by Char,newBody Char,b Char,b10pt Char,body Char,Text Char,2 Char,Body1 Char,Text1 Char,Body2 Char,Text2 Char,31 Char"/>
    <w:link w:val="Body"/>
    <w:rPr>
      <w:rFonts w:ascii="Arial" w:hAnsi="Arial" w:cs="Times New Roman"/>
      <w:kern w:val="20"/>
      <w:sz w:val="20"/>
    </w:rPr>
  </w:style>
  <w:style w:type="character" w:customStyle="1" w:styleId="Level2Char">
    <w:name w:val="Level 2 Char"/>
    <w:basedOn w:val="DefaultParagraphFont"/>
    <w:link w:val="Level2"/>
    <w:rPr>
      <w:rFonts w:ascii="Arial" w:hAnsi="Arial" w:cs="Times New Roman"/>
      <w:kern w:val="20"/>
      <w:sz w:val="20"/>
      <w:szCs w:val="28"/>
    </w:rPr>
  </w:style>
  <w:style w:type="character" w:customStyle="1" w:styleId="Level3Char">
    <w:name w:val="Level 3 Char"/>
    <w:basedOn w:val="DefaultParagraphFont"/>
    <w:link w:val="Level3"/>
    <w:rPr>
      <w:rFonts w:ascii="Arial" w:hAnsi="Arial" w:cs="Times New Roman"/>
      <w:kern w:val="20"/>
      <w:sz w:val="20"/>
      <w:szCs w:val="28"/>
    </w:rPr>
  </w:style>
  <w:style w:type="paragraph" w:customStyle="1" w:styleId="1">
    <w:name w:val="1"/>
    <w:basedOn w:val="Normal"/>
    <w:link w:val="FootnoteReference"/>
    <w:qFormat/>
    <w:pPr>
      <w:spacing w:after="160" w:line="240" w:lineRule="exact"/>
    </w:pPr>
    <w:rPr>
      <w:rFonts w:asciiTheme="minorHAnsi" w:hAnsiTheme="minorHAnsi"/>
      <w:sz w:val="22"/>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829077562E4B4F4F98F681ADDADB1D0F" ma:contentTypeVersion="163" ma:contentTypeDescription="Gavi Document content type " ma:contentTypeScope="" ma:versionID="aa31b75658fdaf1ca5168548501fd58a">
  <xsd:schema xmlns:xsd="http://www.w3.org/2001/XMLSchema" xmlns:xs="http://www.w3.org/2001/XMLSchema" xmlns:p="http://schemas.microsoft.com/office/2006/metadata/properties" xmlns:ns2="700359ba-e36c-422a-9925-ddada98091a9" xmlns:ns3="d0706217-df7c-4bf4-936d-b09aa3b837af" xmlns:ns4="a0d399e1-4586-4335-9383-7d9098bfc9ba" targetNamespace="http://schemas.microsoft.com/office/2006/metadata/properties" ma:root="true" ma:fieldsID="34f12dd34911f291f43978aa91b7f96b" ns2:_="" ns3:_="" ns4:_="">
    <xsd:import namespace="700359ba-e36c-422a-9925-ddada98091a9"/>
    <xsd:import namespace="d0706217-df7c-4bf4-936d-b09aa3b837af"/>
    <xsd:import namespace="a0d399e1-4586-4335-9383-7d9098bfc9ba"/>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d399e1-4586-4335-9383-7d9098bfc9ba"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_dlc_DocId xmlns="700359ba-e36c-422a-9925-ddada98091a9">GAVI-1412322964-919334</_dlc_DocId>
    <_dlc_DocIdUrl xmlns="700359ba-e36c-422a-9925-ddada98091a9">
      <Url>https://gavinet.sharepoint.com/teams/COP/_layouts/15/DocIdRedir.aspx?ID=GAVI-1412322964-919334</Url>
      <Description>GAVI-1412322964-919334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04745B-1BCE-47B9-89F2-CECC0B7AD0B6}">
  <ds:schemaRefs>
    <ds:schemaRef ds:uri="Microsoft.SharePoint.Taxonomy.ContentTypeSync"/>
  </ds:schemaRefs>
</ds:datastoreItem>
</file>

<file path=customXml/itemProps2.xml><?xml version="1.0" encoding="utf-8"?>
<ds:datastoreItem xmlns:ds="http://schemas.openxmlformats.org/officeDocument/2006/customXml" ds:itemID="{59A0CF2B-E432-4BD7-AFC9-1FD109A5E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359ba-e36c-422a-9925-ddada98091a9"/>
    <ds:schemaRef ds:uri="d0706217-df7c-4bf4-936d-b09aa3b837af"/>
    <ds:schemaRef ds:uri="a0d399e1-4586-4335-9383-7d9098bfc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926EA-D676-4106-AD9F-0F7EB2EFEA40}">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4.xml><?xml version="1.0" encoding="utf-8"?>
<ds:datastoreItem xmlns:ds="http://schemas.openxmlformats.org/officeDocument/2006/customXml" ds:itemID="{9B8BF412-3A99-4D29-828B-D14672DF2868}">
  <ds:schemaRefs>
    <ds:schemaRef ds:uri="http://schemas.microsoft.com/sharepoint/v3/contenttype/forms"/>
  </ds:schemaRefs>
</ds:datastoreItem>
</file>

<file path=customXml/itemProps5.xml><?xml version="1.0" encoding="utf-8"?>
<ds:datastoreItem xmlns:ds="http://schemas.openxmlformats.org/officeDocument/2006/customXml" ds:itemID="{B1DF283F-AA8C-4074-AADB-7D17C16A22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3354</Words>
  <Characters>19118</Characters>
  <Application>Microsoft Office Word</Application>
  <DocSecurity>0</DocSecurity>
  <Lines>159</Lines>
  <Paragraphs>44</Paragraphs>
  <ScaleCrop>false</ScaleCrop>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Grieves (Consultant)</dc:creator>
  <cp:lastModifiedBy>Rosie Grieves (Consultant)</cp:lastModifiedBy>
  <cp:revision>3</cp:revision>
  <dcterms:created xsi:type="dcterms:W3CDTF">2021-02-22T16:30:00Z</dcterms:created>
  <dcterms:modified xsi:type="dcterms:W3CDTF">2021-02-22T16:30:00Z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0x0101009954897F3EE3CC4ABB9FB9EDAC9CDEBC00829077562E4B4F4F98F681ADDADB1D0F</vt:lpwstr>
  </property>
  <property fmtid="{D5CDD505-2E9C-101B-9397-08002B2CF9AE}" pid="3" name="_dlc_DocIdItemGuid">
    <vt:lpwstr>79a80c4b-ae56-4e3f-8429-f8a72b7ddc85</vt:lpwstr>
  </property>
  <property fmtid="{D5CDD505-2E9C-101B-9397-08002B2CF9AE}" pid="4" name="MSIP_Label_0a957285-7815-485a-9751-5b273b784ad5_Enabled">
    <vt:lpwstr>true</vt:lpwstr>
  </property>
  <property fmtid="{D5CDD505-2E9C-101B-9397-08002B2CF9AE}" pid="5" name="MSIP_Label_0a957285-7815-485a-9751-5b273b784ad5_SetDate">
    <vt:lpwstr>2021-02-22T16:30:12Z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f8ef8f15-b14f-4446-9ae8-0000d236c33a</vt:lpwstr>
  </property>
  <property fmtid="{D5CDD505-2E9C-101B-9397-08002B2CF9AE}" pid="10" name="MSIP_Label_0a957285-7815-485a-9751-5b273b784ad5_ContentBits">
    <vt:lpwstr>0</vt:lpwstr>
  </property>
</Properties>
</file>